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98D7" w14:textId="77777777" w:rsidR="00DF66F8" w:rsidRPr="00CE422A" w:rsidRDefault="00777AA2" w:rsidP="009867DB">
      <w:pPr>
        <w:pStyle w:val="Heading1"/>
        <w:rPr>
          <w:lang w:val="en-AU"/>
        </w:rPr>
      </w:pPr>
      <w:r w:rsidRPr="00CE422A">
        <w:rPr>
          <w:lang w:val="en-AU"/>
        </w:rPr>
        <w:t>SWM-1</w:t>
      </w:r>
      <w:r w:rsidR="009867DB" w:rsidRPr="00CE422A">
        <w:rPr>
          <w:lang w:val="en-AU"/>
        </w:rPr>
        <w:t>4</w:t>
      </w:r>
      <w:r w:rsidR="0036398A" w:rsidRPr="00CE422A">
        <w:rPr>
          <w:lang w:val="en-AU"/>
        </w:rPr>
        <w:t xml:space="preserve">. </w:t>
      </w:r>
      <w:r w:rsidR="009867DB" w:rsidRPr="00CE422A">
        <w:rPr>
          <w:lang w:val="en-AU"/>
        </w:rPr>
        <w:t>Robbery/ Violence</w:t>
      </w:r>
      <w:r w:rsidR="00AE5C43" w:rsidRPr="00CE422A">
        <w:rPr>
          <w:lang w:val="en-AU"/>
        </w:rPr>
        <w:t xml:space="preserve"> SWMS</w:t>
      </w:r>
    </w:p>
    <w:p w14:paraId="6A782D05" w14:textId="77777777" w:rsidR="005B575A" w:rsidRPr="00CE422A" w:rsidRDefault="00496618" w:rsidP="009867DB">
      <w:pPr>
        <w:pStyle w:val="BodyText"/>
        <w:rPr>
          <w:rFonts w:ascii="Montserrat" w:hAnsi="Montserrat"/>
          <w:b/>
          <w:bCs/>
          <w:color w:val="0064AA"/>
          <w:lang w:val="en-AU"/>
        </w:rPr>
      </w:pPr>
      <w:r w:rsidRPr="00CE422A">
        <w:rPr>
          <w:lang w:val="en-AU"/>
        </w:rPr>
        <w:drawing>
          <wp:anchor distT="0" distB="0" distL="114300" distR="114300" simplePos="0" relativeHeight="251658240" behindDoc="0" locked="0" layoutInCell="1" allowOverlap="1" wp14:anchorId="140C4AF4" wp14:editId="36A43D32">
            <wp:simplePos x="0" y="0"/>
            <wp:positionH relativeFrom="margin">
              <wp:align>right</wp:align>
            </wp:positionH>
            <wp:positionV relativeFrom="paragraph">
              <wp:posOffset>9574</wp:posOffset>
            </wp:positionV>
            <wp:extent cx="1350010" cy="1012190"/>
            <wp:effectExtent l="0" t="0" r="2540" b="0"/>
            <wp:wrapSquare wrapText="bothSides"/>
            <wp:docPr id="1" name="Picture 1" descr="\\Eastmen-d32cceb\el server\Active Files\CurrentBusinesses\Immediate Businesses\ACWA\Apco Photos\Photo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astmen-d32cceb\el server\Active Files\CurrentBusinesses\Immediate Businesses\ACWA\Apco Photos\Photo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A" w:rsidRPr="00CE422A">
        <w:rPr>
          <w:rFonts w:ascii="Montserrat" w:hAnsi="Montserrat"/>
          <w:b/>
          <w:bCs/>
          <w:color w:val="0064AA"/>
          <w:lang w:val="en-AU"/>
        </w:rPr>
        <w:t>ACWA</w:t>
      </w:r>
      <w:r w:rsidR="007255C6" w:rsidRPr="00CE422A">
        <w:rPr>
          <w:rFonts w:ascii="Montserrat" w:hAnsi="Montserrat"/>
          <w:b/>
          <w:bCs/>
          <w:color w:val="0064AA"/>
          <w:lang w:val="en-AU"/>
        </w:rPr>
        <w:t xml:space="preserve">: </w:t>
      </w:r>
      <w:r w:rsidR="00684491" w:rsidRPr="00CE422A">
        <w:rPr>
          <w:rFonts w:ascii="Montserrat" w:hAnsi="Montserrat"/>
          <w:b/>
          <w:bCs/>
          <w:color w:val="0064AA"/>
          <w:lang w:val="en-AU"/>
        </w:rPr>
        <w:t xml:space="preserve">Safe Work Method – </w:t>
      </w:r>
      <w:r w:rsidR="009867DB" w:rsidRPr="00CE422A">
        <w:rPr>
          <w:rFonts w:ascii="Montserrat" w:hAnsi="Montserrat"/>
          <w:b/>
          <w:bCs/>
          <w:color w:val="0064AA"/>
          <w:lang w:val="en-AU"/>
        </w:rPr>
        <w:t>Robbery/ Violence</w:t>
      </w:r>
      <w:r w:rsidR="00AE5C43" w:rsidRPr="00CE422A">
        <w:rPr>
          <w:rFonts w:ascii="Montserrat" w:hAnsi="Montserrat"/>
          <w:b/>
          <w:bCs/>
          <w:color w:val="0064AA"/>
          <w:lang w:val="en-AU"/>
        </w:rPr>
        <w:t xml:space="preserve"> </w:t>
      </w:r>
    </w:p>
    <w:p w14:paraId="1F640C82" w14:textId="77777777" w:rsidR="00A11FA2" w:rsidRPr="00CE422A" w:rsidRDefault="00CB3822" w:rsidP="00A11FA2">
      <w:pPr>
        <w:pStyle w:val="BodyText"/>
        <w:rPr>
          <w:lang w:val="en-AU"/>
        </w:rPr>
      </w:pPr>
      <w:r w:rsidRPr="00CE422A">
        <w:rPr>
          <w:b/>
          <w:bCs/>
          <w:lang w:val="en-AU"/>
        </w:rPr>
        <w:t>Note:</w:t>
      </w:r>
      <w:r w:rsidRPr="00CE422A">
        <w:rPr>
          <w:lang w:val="en-AU"/>
        </w:rPr>
        <w:t xml:space="preserve"> </w:t>
      </w:r>
      <w:r w:rsidR="00A11FA2" w:rsidRPr="00CE422A">
        <w:rPr>
          <w:lang w:val="en-AU"/>
        </w:rPr>
        <w:t xml:space="preserve">This Safe Work Method only provides guidance information and may not necessarily cover all possible hazards and should be used with other references </w:t>
      </w:r>
    </w:p>
    <w:p w14:paraId="5C409C16" w14:textId="77777777" w:rsidR="00D36310" w:rsidRPr="00CE422A" w:rsidRDefault="00CB3822" w:rsidP="00A11FA2">
      <w:pPr>
        <w:pStyle w:val="BodyText"/>
        <w:rPr>
          <w:b/>
          <w:bCs/>
          <w:lang w:val="en-AU"/>
        </w:rPr>
      </w:pPr>
      <w:r w:rsidRPr="00CE422A">
        <w:rPr>
          <w:b/>
          <w:bCs/>
          <w:lang w:val="en-AU"/>
        </w:rPr>
        <w:t>Date: August/2023</w:t>
      </w:r>
      <w:r w:rsidR="00D36310" w:rsidRPr="00CE422A">
        <w:rPr>
          <w:b/>
          <w:bCs/>
          <w:lang w:val="en-AU"/>
        </w:rPr>
        <w:t xml:space="preserve">.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676"/>
        <w:gridCol w:w="4340"/>
      </w:tblGrid>
      <w:tr w:rsidR="00C9519B" w:rsidRPr="00CE422A" w14:paraId="5B044ED6" w14:textId="77777777" w:rsidTr="00F2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14:paraId="35B0CF0F" w14:textId="77777777" w:rsidR="00C9519B" w:rsidRPr="00CE422A" w:rsidRDefault="00C9519B" w:rsidP="00923EC0">
            <w:pPr>
              <w:jc w:val="center"/>
              <w:rPr>
                <w:b w:val="0"/>
                <w:sz w:val="24"/>
                <w:szCs w:val="24"/>
              </w:rPr>
            </w:pPr>
            <w:r w:rsidRPr="00CE422A">
              <w:rPr>
                <w:sz w:val="24"/>
                <w:szCs w:val="24"/>
              </w:rPr>
              <w:t>Risk Assessment</w:t>
            </w:r>
          </w:p>
        </w:tc>
      </w:tr>
      <w:tr w:rsidR="00C9519B" w:rsidRPr="00CE422A" w14:paraId="41FD2FF1" w14:textId="77777777" w:rsidTr="008512DB">
        <w:trPr>
          <w:trHeight w:val="144"/>
        </w:trPr>
        <w:tc>
          <w:tcPr>
            <w:tcW w:w="2593" w:type="pct"/>
          </w:tcPr>
          <w:p w14:paraId="4F514028" w14:textId="77777777" w:rsidR="00C9519B" w:rsidRPr="00CE422A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E422A">
              <w:rPr>
                <w:b/>
                <w:sz w:val="24"/>
                <w:szCs w:val="24"/>
              </w:rPr>
              <w:t xml:space="preserve">Hazard </w:t>
            </w:r>
          </w:p>
        </w:tc>
        <w:tc>
          <w:tcPr>
            <w:tcW w:w="2407" w:type="pct"/>
          </w:tcPr>
          <w:p w14:paraId="7B172541" w14:textId="77777777" w:rsidR="00C9519B" w:rsidRPr="00CE422A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E422A">
              <w:rPr>
                <w:b/>
                <w:sz w:val="24"/>
                <w:szCs w:val="24"/>
              </w:rPr>
              <w:t>Risk</w:t>
            </w:r>
          </w:p>
        </w:tc>
      </w:tr>
      <w:tr w:rsidR="00F73AD3" w:rsidRPr="00CE422A" w14:paraId="116F62D5" w14:textId="77777777" w:rsidTr="008512DB">
        <w:trPr>
          <w:trHeight w:val="299"/>
        </w:trPr>
        <w:tc>
          <w:tcPr>
            <w:tcW w:w="2593" w:type="pct"/>
          </w:tcPr>
          <w:p w14:paraId="2924F7CF" w14:textId="77777777" w:rsidR="00F73AD3" w:rsidRPr="00CE422A" w:rsidRDefault="009867DB" w:rsidP="00F73AD3">
            <w:pPr>
              <w:spacing w:line="300" w:lineRule="exact"/>
            </w:pPr>
            <w:r w:rsidRPr="00CE422A">
              <w:t>Armed and/or violent intruders</w:t>
            </w:r>
          </w:p>
        </w:tc>
        <w:tc>
          <w:tcPr>
            <w:tcW w:w="2407" w:type="pct"/>
          </w:tcPr>
          <w:p w14:paraId="0A439014" w14:textId="77777777" w:rsidR="009867DB" w:rsidRPr="00CE422A" w:rsidRDefault="009867DB" w:rsidP="00980BF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 w:rsidRPr="00CE422A">
              <w:t>Train staff in competently managing robbery/violence,</w:t>
            </w:r>
          </w:p>
          <w:p w14:paraId="5CFAF481" w14:textId="77777777" w:rsidR="009867DB" w:rsidRPr="00CE422A" w:rsidRDefault="009867DB" w:rsidP="00980BF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 w:rsidRPr="00CE422A">
              <w:t>Minimise amounts of cash at premises,</w:t>
            </w:r>
          </w:p>
          <w:p w14:paraId="2282DD45" w14:textId="77777777" w:rsidR="00F73AD3" w:rsidRPr="00CE422A" w:rsidRDefault="009867DB" w:rsidP="00980BFD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</w:pPr>
            <w:r w:rsidRPr="00CE422A">
              <w:t>Keep major cash handling out of view.</w:t>
            </w:r>
          </w:p>
        </w:tc>
      </w:tr>
    </w:tbl>
    <w:p w14:paraId="792F32C8" w14:textId="77777777" w:rsidR="006918F3" w:rsidRPr="00CE422A" w:rsidRDefault="00AA2457" w:rsidP="006918F3">
      <w:pPr>
        <w:pStyle w:val="Heading2"/>
        <w:rPr>
          <w:lang w:val="en-AU"/>
        </w:rPr>
      </w:pPr>
      <w:r w:rsidRPr="00CE422A">
        <w:rPr>
          <w:lang w:val="en-AU"/>
        </w:rPr>
        <w:t>Responding to Robbery/Violent Situations</w:t>
      </w:r>
    </w:p>
    <w:p w14:paraId="22BC25B5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Always follow instructions – do exactly what the offender says,</w:t>
      </w:r>
    </w:p>
    <w:p w14:paraId="26FF5EC2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Stay calm and quiet,</w:t>
      </w:r>
    </w:p>
    <w:p w14:paraId="2DE2EF53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Avoid prolonged eye contact,</w:t>
      </w:r>
    </w:p>
    <w:p w14:paraId="76041B7D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Do not make sudden movements,</w:t>
      </w:r>
    </w:p>
    <w:p w14:paraId="169F9089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Never argue or yell back at a potential offender,</w:t>
      </w:r>
    </w:p>
    <w:p w14:paraId="027890A5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Try to keep your hands visible throughout the ordeal,</w:t>
      </w:r>
    </w:p>
    <w:p w14:paraId="6651B83F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Always advise the offender if you are going to move,</w:t>
      </w:r>
    </w:p>
    <w:p w14:paraId="68162C77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Do not attack the offender,</w:t>
      </w:r>
    </w:p>
    <w:p w14:paraId="35B4D16F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 xml:space="preserve">If it is safe to do so, take mental notes of the offender’s features e.g., height, hair and eye colour, physical condition, special </w:t>
      </w:r>
      <w:proofErr w:type="gramStart"/>
      <w:r w:rsidRPr="00CE422A">
        <w:rPr>
          <w:lang w:val="en-AU"/>
        </w:rPr>
        <w:t>marks</w:t>
      </w:r>
      <w:proofErr w:type="gramEnd"/>
      <w:r w:rsidRPr="00CE422A">
        <w:rPr>
          <w:lang w:val="en-AU"/>
        </w:rPr>
        <w:t xml:space="preserve"> or tattoos,</w:t>
      </w:r>
    </w:p>
    <w:p w14:paraId="74D360FE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Never stare at a person. Prolonged eye contact may be perceived as a challenge or threat,</w:t>
      </w:r>
    </w:p>
    <w:p w14:paraId="6C3CF006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If under direct threat or abuse, remove yourself from the situation and seek out your manager or supervisor,</w:t>
      </w:r>
    </w:p>
    <w:p w14:paraId="78D10AD7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 xml:space="preserve">Do not chase the offender, </w:t>
      </w:r>
    </w:p>
    <w:p w14:paraId="0699D345" w14:textId="77777777" w:rsidR="006918F3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If you have been subjected to a robbery or violent act and are no longer under threat, write down or record all details while they are fresh in your mind.</w:t>
      </w:r>
    </w:p>
    <w:p w14:paraId="564AA69A" w14:textId="77777777" w:rsidR="006918F3" w:rsidRPr="00CE422A" w:rsidRDefault="00AA2457" w:rsidP="006918F3">
      <w:pPr>
        <w:pStyle w:val="Heading2"/>
        <w:rPr>
          <w:lang w:val="en-AU"/>
        </w:rPr>
      </w:pPr>
      <w:r w:rsidRPr="00CE422A">
        <w:rPr>
          <w:lang w:val="en-AU"/>
        </w:rPr>
        <w:t>Prevention Tips</w:t>
      </w:r>
    </w:p>
    <w:p w14:paraId="08E6460E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Monitor cash levels throughout your shift. Advise your manager or supervisor if cash levels are becoming excessive,</w:t>
      </w:r>
    </w:p>
    <w:p w14:paraId="051A2DFA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Don’t be predictable. Collect and count cash at varying times throughout your work,</w:t>
      </w:r>
    </w:p>
    <w:p w14:paraId="58628DB6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 xml:space="preserve">Try to </w:t>
      </w:r>
      <w:proofErr w:type="gramStart"/>
      <w:r w:rsidRPr="00CE422A">
        <w:rPr>
          <w:lang w:val="en-AU"/>
        </w:rPr>
        <w:t>handle</w:t>
      </w:r>
      <w:proofErr w:type="gramEnd"/>
      <w:r w:rsidRPr="00CE422A">
        <w:rPr>
          <w:lang w:val="en-AU"/>
        </w:rPr>
        <w:t xml:space="preserve"> money at known quiet times when few others are around,</w:t>
      </w:r>
    </w:p>
    <w:p w14:paraId="57E35A4E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Count money in the most secure location at your work and away from public view,</w:t>
      </w:r>
    </w:p>
    <w:p w14:paraId="480C3E59" w14:textId="0EF397EB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 xml:space="preserve">Do not wear </w:t>
      </w:r>
      <w:r w:rsidR="00CE422A" w:rsidRPr="00CE422A">
        <w:rPr>
          <w:lang w:val="en-AU"/>
        </w:rPr>
        <w:t>jewellery</w:t>
      </w:r>
      <w:r w:rsidRPr="00CE422A">
        <w:rPr>
          <w:lang w:val="en-AU"/>
        </w:rPr>
        <w:t xml:space="preserve"> that could be a strangulation or theft hazard,</w:t>
      </w:r>
    </w:p>
    <w:p w14:paraId="18C0B846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Be aware of anyone who appears to be loitering in or around the wash. If they do not leave and you are certain they are suspicious, call the police,</w:t>
      </w:r>
    </w:p>
    <w:p w14:paraId="346A0409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Park as close to the car wash as possible when arriving at work,</w:t>
      </w:r>
    </w:p>
    <w:p w14:paraId="6229A65C" w14:textId="77777777" w:rsidR="00AA2457" w:rsidRPr="00CE422A" w:rsidRDefault="00AA2457" w:rsidP="00AA2457">
      <w:pPr>
        <w:pStyle w:val="ListParagraph"/>
        <w:rPr>
          <w:lang w:val="en-AU"/>
        </w:rPr>
      </w:pPr>
      <w:r w:rsidRPr="00CE422A">
        <w:rPr>
          <w:lang w:val="en-AU"/>
        </w:rPr>
        <w:t>Avoid poorly lit car parks or streets when travelling to and from work at night or early morning,</w:t>
      </w:r>
    </w:p>
    <w:p w14:paraId="72DFF022" w14:textId="77777777" w:rsidR="008553FE" w:rsidRDefault="00AA2457" w:rsidP="00AA2457">
      <w:pPr>
        <w:pStyle w:val="ListParagraph"/>
      </w:pPr>
      <w:r w:rsidRPr="00CE422A">
        <w:rPr>
          <w:lang w:val="en-AU"/>
        </w:rPr>
        <w:t>If leaving work in the dark, try to leave with other workers in groups or pairs.</w:t>
      </w:r>
      <w:r w:rsidR="008553FE" w:rsidRPr="00CE422A">
        <w:rPr>
          <w:lang w:val="en-AU"/>
        </w:rPr>
        <w:t xml:space="preserve"> </w:t>
      </w:r>
    </w:p>
    <w:sectPr w:rsidR="008553FE" w:rsidSect="00476AA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309F" w14:textId="77777777" w:rsidR="00980BFD" w:rsidRPr="00CE422A" w:rsidRDefault="00980BFD" w:rsidP="007E4F87">
      <w:pPr>
        <w:spacing w:after="0" w:line="240" w:lineRule="auto"/>
      </w:pPr>
      <w:r w:rsidRPr="00CE422A">
        <w:separator/>
      </w:r>
    </w:p>
  </w:endnote>
  <w:endnote w:type="continuationSeparator" w:id="0">
    <w:p w14:paraId="00EED73B" w14:textId="77777777" w:rsidR="00980BFD" w:rsidRPr="00CE422A" w:rsidRDefault="00980BFD" w:rsidP="007E4F87">
      <w:pPr>
        <w:spacing w:after="0" w:line="240" w:lineRule="auto"/>
      </w:pPr>
      <w:r w:rsidRPr="00CE42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CE422A" w14:paraId="4C267047" w14:textId="77777777" w:rsidTr="00EB2847">
      <w:tc>
        <w:tcPr>
          <w:tcW w:w="4090" w:type="pct"/>
        </w:tcPr>
        <w:p w14:paraId="198676FA" w14:textId="77777777" w:rsidR="00FB2321" w:rsidRPr="00CE422A" w:rsidRDefault="00FB2321">
          <w:pPr>
            <w:pStyle w:val="Footer"/>
            <w:rPr>
              <w:color w:val="0064AA"/>
              <w:sz w:val="16"/>
              <w:szCs w:val="16"/>
            </w:rPr>
          </w:pPr>
          <w:r w:rsidRPr="00CE422A">
            <w:rPr>
              <w:color w:val="0064AA"/>
              <w:sz w:val="16"/>
              <w:szCs w:val="16"/>
            </w:rPr>
            <w:t>The controlled version of this document is on the ACWA website</w:t>
          </w:r>
        </w:p>
      </w:tc>
      <w:tc>
        <w:tcPr>
          <w:tcW w:w="910" w:type="pct"/>
        </w:tcPr>
        <w:p w14:paraId="568F225F" w14:textId="77777777" w:rsidR="00FB2321" w:rsidRPr="00CE422A" w:rsidRDefault="002B3465" w:rsidP="002B3465">
          <w:pPr>
            <w:pStyle w:val="Footer"/>
            <w:jc w:val="right"/>
            <w:rPr>
              <w:color w:val="0064AA"/>
              <w:sz w:val="16"/>
              <w:szCs w:val="16"/>
            </w:rPr>
          </w:pPr>
          <w:r w:rsidRPr="00CE422A">
            <w:rPr>
              <w:color w:val="0064AA"/>
              <w:sz w:val="16"/>
              <w:szCs w:val="16"/>
            </w:rPr>
            <w:t xml:space="preserve">Page </w:t>
          </w:r>
          <w:r w:rsidRPr="00CE422A">
            <w:rPr>
              <w:b/>
              <w:bCs/>
              <w:color w:val="0064AA"/>
              <w:sz w:val="16"/>
              <w:szCs w:val="16"/>
            </w:rPr>
            <w:fldChar w:fldCharType="begin"/>
          </w:r>
          <w:r w:rsidRPr="00CE422A">
            <w:rPr>
              <w:b/>
              <w:bCs/>
              <w:color w:val="0064AA"/>
              <w:sz w:val="16"/>
              <w:szCs w:val="16"/>
            </w:rPr>
            <w:instrText xml:space="preserve"> PAGE  \* Arabic  \* MERGEFORMAT </w:instrText>
          </w:r>
          <w:r w:rsidRPr="00CE422A">
            <w:rPr>
              <w:b/>
              <w:bCs/>
              <w:color w:val="0064AA"/>
              <w:sz w:val="16"/>
              <w:szCs w:val="16"/>
            </w:rPr>
            <w:fldChar w:fldCharType="separate"/>
          </w:r>
          <w:r w:rsidR="00496618" w:rsidRPr="00CE422A">
            <w:rPr>
              <w:bCs/>
              <w:color w:val="0064AA"/>
              <w:sz w:val="16"/>
              <w:szCs w:val="16"/>
            </w:rPr>
            <w:t>1</w:t>
          </w:r>
          <w:r w:rsidRPr="00CE422A">
            <w:rPr>
              <w:b/>
              <w:bCs/>
              <w:color w:val="0064AA"/>
              <w:sz w:val="16"/>
              <w:szCs w:val="16"/>
            </w:rPr>
            <w:fldChar w:fldCharType="end"/>
          </w:r>
          <w:r w:rsidRPr="00CE422A">
            <w:rPr>
              <w:color w:val="0064AA"/>
              <w:sz w:val="16"/>
              <w:szCs w:val="16"/>
            </w:rPr>
            <w:t xml:space="preserve"> of </w:t>
          </w:r>
          <w:r w:rsidRPr="00CE422A">
            <w:rPr>
              <w:b/>
              <w:bCs/>
              <w:color w:val="0064AA"/>
              <w:sz w:val="16"/>
              <w:szCs w:val="16"/>
            </w:rPr>
            <w:fldChar w:fldCharType="begin"/>
          </w:r>
          <w:r w:rsidRPr="00CE422A">
            <w:rPr>
              <w:b/>
              <w:bCs/>
              <w:color w:val="0064AA"/>
              <w:sz w:val="16"/>
              <w:szCs w:val="16"/>
            </w:rPr>
            <w:instrText xml:space="preserve"> NUMPAGES  \* Arabic  \* MERGEFORMAT </w:instrText>
          </w:r>
          <w:r w:rsidRPr="00CE422A">
            <w:rPr>
              <w:b/>
              <w:bCs/>
              <w:color w:val="0064AA"/>
              <w:sz w:val="16"/>
              <w:szCs w:val="16"/>
            </w:rPr>
            <w:fldChar w:fldCharType="separate"/>
          </w:r>
          <w:r w:rsidR="00496618" w:rsidRPr="00CE422A">
            <w:rPr>
              <w:bCs/>
              <w:color w:val="0064AA"/>
              <w:sz w:val="16"/>
              <w:szCs w:val="16"/>
            </w:rPr>
            <w:t>1</w:t>
          </w:r>
          <w:r w:rsidRPr="00CE422A">
            <w:rPr>
              <w:b/>
              <w:bCs/>
              <w:color w:val="0064AA"/>
              <w:sz w:val="16"/>
              <w:szCs w:val="16"/>
            </w:rPr>
            <w:fldChar w:fldCharType="end"/>
          </w:r>
        </w:p>
      </w:tc>
    </w:tr>
  </w:tbl>
  <w:p w14:paraId="79AE1E7E" w14:textId="77777777" w:rsidR="00DB1AFF" w:rsidRPr="00CE422A" w:rsidRDefault="00DB1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06C1" w14:textId="77777777" w:rsidR="00980BFD" w:rsidRPr="00CE422A" w:rsidRDefault="00980BFD" w:rsidP="007E4F87">
      <w:pPr>
        <w:spacing w:after="0" w:line="240" w:lineRule="auto"/>
      </w:pPr>
      <w:r w:rsidRPr="00CE422A">
        <w:separator/>
      </w:r>
    </w:p>
  </w:footnote>
  <w:footnote w:type="continuationSeparator" w:id="0">
    <w:p w14:paraId="63F09CD7" w14:textId="77777777" w:rsidR="00980BFD" w:rsidRPr="00CE422A" w:rsidRDefault="00980BFD" w:rsidP="007E4F87">
      <w:pPr>
        <w:spacing w:after="0" w:line="240" w:lineRule="auto"/>
      </w:pPr>
      <w:r w:rsidRPr="00CE42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RPr="00CE422A" w14:paraId="7E73302A" w14:textId="77777777" w:rsidTr="002206C7">
      <w:tc>
        <w:tcPr>
          <w:tcW w:w="9016" w:type="dxa"/>
        </w:tcPr>
        <w:p w14:paraId="1C22BFF1" w14:textId="77777777" w:rsidR="00F351C6" w:rsidRPr="00CE422A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CE422A">
            <w:rPr>
              <w:color w:val="093C61"/>
            </w:rPr>
            <w:drawing>
              <wp:anchor distT="0" distB="0" distL="114300" distR="114300" simplePos="0" relativeHeight="251658240" behindDoc="0" locked="0" layoutInCell="1" allowOverlap="1" wp14:anchorId="648966CE" wp14:editId="0639CD6C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CE422A">
            <w:rPr>
              <w:color w:val="093C61"/>
              <w:sz w:val="16"/>
              <w:szCs w:val="16"/>
            </w:rPr>
            <w:t>Version: 02</w:t>
          </w:r>
        </w:p>
        <w:p w14:paraId="7C2A5105" w14:textId="77777777" w:rsidR="00F351C6" w:rsidRPr="00CE422A" w:rsidRDefault="007026B5" w:rsidP="00AA2457">
          <w:pPr>
            <w:pStyle w:val="Header"/>
          </w:pPr>
          <w:r w:rsidRPr="00CE422A">
            <w:rPr>
              <w:color w:val="093C61"/>
              <w:sz w:val="16"/>
              <w:szCs w:val="16"/>
            </w:rPr>
            <w:t xml:space="preserve">Date: </w:t>
          </w:r>
          <w:r w:rsidR="00AA2457" w:rsidRPr="00CE422A">
            <w:rPr>
              <w:color w:val="093C61"/>
              <w:sz w:val="16"/>
              <w:szCs w:val="16"/>
            </w:rPr>
            <w:t>August</w:t>
          </w:r>
          <w:r w:rsidR="00F351C6" w:rsidRPr="00CE422A">
            <w:rPr>
              <w:color w:val="093C61"/>
              <w:sz w:val="16"/>
              <w:szCs w:val="16"/>
            </w:rPr>
            <w:t xml:space="preserve"> 2023</w:t>
          </w:r>
          <w:r w:rsidR="00476AA0" w:rsidRPr="00CE422A">
            <w:rPr>
              <w:color w:val="093C61"/>
            </w:rPr>
            <w:t xml:space="preserve"> </w:t>
          </w:r>
        </w:p>
      </w:tc>
    </w:tr>
  </w:tbl>
  <w:p w14:paraId="240BA522" w14:textId="77777777" w:rsidR="007E4F87" w:rsidRPr="00CE422A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26AD"/>
    <w:multiLevelType w:val="hybridMultilevel"/>
    <w:tmpl w:val="3FB6BCB2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447450">
    <w:abstractNumId w:val="0"/>
  </w:num>
  <w:num w:numId="2" w16cid:durableId="61957798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98C"/>
    <w:rsid w:val="00012D90"/>
    <w:rsid w:val="000141C9"/>
    <w:rsid w:val="000254EC"/>
    <w:rsid w:val="000442D7"/>
    <w:rsid w:val="00050753"/>
    <w:rsid w:val="00067122"/>
    <w:rsid w:val="000A7D66"/>
    <w:rsid w:val="000B2D64"/>
    <w:rsid w:val="000C18EC"/>
    <w:rsid w:val="000C52D6"/>
    <w:rsid w:val="000D3FCF"/>
    <w:rsid w:val="000F0628"/>
    <w:rsid w:val="000F1647"/>
    <w:rsid w:val="00140648"/>
    <w:rsid w:val="00145F0E"/>
    <w:rsid w:val="001624D5"/>
    <w:rsid w:val="00184F01"/>
    <w:rsid w:val="00186C70"/>
    <w:rsid w:val="00192C76"/>
    <w:rsid w:val="00197943"/>
    <w:rsid w:val="001C0E9D"/>
    <w:rsid w:val="001C364E"/>
    <w:rsid w:val="001C6FE8"/>
    <w:rsid w:val="00201598"/>
    <w:rsid w:val="00210734"/>
    <w:rsid w:val="002122D9"/>
    <w:rsid w:val="002206C7"/>
    <w:rsid w:val="00237BF6"/>
    <w:rsid w:val="00244F12"/>
    <w:rsid w:val="00247B14"/>
    <w:rsid w:val="002625A4"/>
    <w:rsid w:val="0026318D"/>
    <w:rsid w:val="00284D32"/>
    <w:rsid w:val="002A1349"/>
    <w:rsid w:val="002B3465"/>
    <w:rsid w:val="002D532A"/>
    <w:rsid w:val="002E09E1"/>
    <w:rsid w:val="002F4CA2"/>
    <w:rsid w:val="00304F11"/>
    <w:rsid w:val="003221CA"/>
    <w:rsid w:val="00344F54"/>
    <w:rsid w:val="003609F4"/>
    <w:rsid w:val="0036398A"/>
    <w:rsid w:val="0038224B"/>
    <w:rsid w:val="003B4E9A"/>
    <w:rsid w:val="003E43EF"/>
    <w:rsid w:val="003F2BAB"/>
    <w:rsid w:val="00400199"/>
    <w:rsid w:val="00421E9F"/>
    <w:rsid w:val="00427753"/>
    <w:rsid w:val="00472381"/>
    <w:rsid w:val="00476AA0"/>
    <w:rsid w:val="00477011"/>
    <w:rsid w:val="00496618"/>
    <w:rsid w:val="004A3769"/>
    <w:rsid w:val="004C398C"/>
    <w:rsid w:val="004E1F09"/>
    <w:rsid w:val="004E25C3"/>
    <w:rsid w:val="004F5510"/>
    <w:rsid w:val="004F64F9"/>
    <w:rsid w:val="005035C3"/>
    <w:rsid w:val="00521035"/>
    <w:rsid w:val="005335EB"/>
    <w:rsid w:val="005506FE"/>
    <w:rsid w:val="00551375"/>
    <w:rsid w:val="00560469"/>
    <w:rsid w:val="00565C66"/>
    <w:rsid w:val="005820ED"/>
    <w:rsid w:val="0059670A"/>
    <w:rsid w:val="005B2F1C"/>
    <w:rsid w:val="005B575A"/>
    <w:rsid w:val="005C414A"/>
    <w:rsid w:val="005E567B"/>
    <w:rsid w:val="00613F4F"/>
    <w:rsid w:val="00680B5B"/>
    <w:rsid w:val="00684491"/>
    <w:rsid w:val="00685C9F"/>
    <w:rsid w:val="006874E1"/>
    <w:rsid w:val="006918F3"/>
    <w:rsid w:val="006B2130"/>
    <w:rsid w:val="006B2A8F"/>
    <w:rsid w:val="006B3978"/>
    <w:rsid w:val="006B726E"/>
    <w:rsid w:val="006D2DC3"/>
    <w:rsid w:val="006E1A2C"/>
    <w:rsid w:val="006E4307"/>
    <w:rsid w:val="006E6928"/>
    <w:rsid w:val="007026B5"/>
    <w:rsid w:val="00717843"/>
    <w:rsid w:val="007255C6"/>
    <w:rsid w:val="00732B88"/>
    <w:rsid w:val="00746D97"/>
    <w:rsid w:val="00747DCC"/>
    <w:rsid w:val="007500CE"/>
    <w:rsid w:val="0076365E"/>
    <w:rsid w:val="00773E2A"/>
    <w:rsid w:val="00773F74"/>
    <w:rsid w:val="00776EA7"/>
    <w:rsid w:val="00777AA2"/>
    <w:rsid w:val="00777D45"/>
    <w:rsid w:val="00794F52"/>
    <w:rsid w:val="00795EB9"/>
    <w:rsid w:val="007B108E"/>
    <w:rsid w:val="007D35C5"/>
    <w:rsid w:val="007E4F87"/>
    <w:rsid w:val="00816186"/>
    <w:rsid w:val="00826B22"/>
    <w:rsid w:val="008512DB"/>
    <w:rsid w:val="008553FE"/>
    <w:rsid w:val="0086636E"/>
    <w:rsid w:val="008949A6"/>
    <w:rsid w:val="008A63FF"/>
    <w:rsid w:val="008C67E4"/>
    <w:rsid w:val="008E074B"/>
    <w:rsid w:val="008E4D06"/>
    <w:rsid w:val="008F1730"/>
    <w:rsid w:val="008F17E6"/>
    <w:rsid w:val="00907748"/>
    <w:rsid w:val="009110D2"/>
    <w:rsid w:val="00980BFD"/>
    <w:rsid w:val="009867DB"/>
    <w:rsid w:val="009918EB"/>
    <w:rsid w:val="009A5F46"/>
    <w:rsid w:val="009C0D9A"/>
    <w:rsid w:val="00A11FA2"/>
    <w:rsid w:val="00A12765"/>
    <w:rsid w:val="00A275B5"/>
    <w:rsid w:val="00A50B3C"/>
    <w:rsid w:val="00A63D44"/>
    <w:rsid w:val="00A858AA"/>
    <w:rsid w:val="00A91399"/>
    <w:rsid w:val="00AA0DD7"/>
    <w:rsid w:val="00AA2457"/>
    <w:rsid w:val="00AE23B3"/>
    <w:rsid w:val="00AE5C43"/>
    <w:rsid w:val="00B03939"/>
    <w:rsid w:val="00B156C8"/>
    <w:rsid w:val="00B21AD6"/>
    <w:rsid w:val="00B40E60"/>
    <w:rsid w:val="00B574BE"/>
    <w:rsid w:val="00B636BE"/>
    <w:rsid w:val="00B82449"/>
    <w:rsid w:val="00B8793A"/>
    <w:rsid w:val="00BB1FE7"/>
    <w:rsid w:val="00BB545E"/>
    <w:rsid w:val="00C17532"/>
    <w:rsid w:val="00C330AC"/>
    <w:rsid w:val="00C33B3B"/>
    <w:rsid w:val="00C54C55"/>
    <w:rsid w:val="00C655E4"/>
    <w:rsid w:val="00C6790D"/>
    <w:rsid w:val="00C77EB5"/>
    <w:rsid w:val="00C917B1"/>
    <w:rsid w:val="00C9519B"/>
    <w:rsid w:val="00CA7E04"/>
    <w:rsid w:val="00CB3822"/>
    <w:rsid w:val="00CB59DA"/>
    <w:rsid w:val="00CD7A1F"/>
    <w:rsid w:val="00CE422A"/>
    <w:rsid w:val="00D07BA8"/>
    <w:rsid w:val="00D12FBA"/>
    <w:rsid w:val="00D21D1F"/>
    <w:rsid w:val="00D353F3"/>
    <w:rsid w:val="00D36310"/>
    <w:rsid w:val="00D52444"/>
    <w:rsid w:val="00D64C1E"/>
    <w:rsid w:val="00D77074"/>
    <w:rsid w:val="00D80A5C"/>
    <w:rsid w:val="00D8569E"/>
    <w:rsid w:val="00DB1AFF"/>
    <w:rsid w:val="00DC4BAB"/>
    <w:rsid w:val="00DD7EBC"/>
    <w:rsid w:val="00DF4E68"/>
    <w:rsid w:val="00DF66F8"/>
    <w:rsid w:val="00E119D9"/>
    <w:rsid w:val="00E13768"/>
    <w:rsid w:val="00E1791E"/>
    <w:rsid w:val="00E23CF9"/>
    <w:rsid w:val="00E448D4"/>
    <w:rsid w:val="00E66226"/>
    <w:rsid w:val="00E92F62"/>
    <w:rsid w:val="00E940B3"/>
    <w:rsid w:val="00E954C5"/>
    <w:rsid w:val="00EB2847"/>
    <w:rsid w:val="00F005D9"/>
    <w:rsid w:val="00F00E95"/>
    <w:rsid w:val="00F26FDA"/>
    <w:rsid w:val="00F33C67"/>
    <w:rsid w:val="00F351C6"/>
    <w:rsid w:val="00F41761"/>
    <w:rsid w:val="00F50691"/>
    <w:rsid w:val="00F674CD"/>
    <w:rsid w:val="00F7008D"/>
    <w:rsid w:val="00F73AD3"/>
    <w:rsid w:val="00F8380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B37DDE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F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A1FD6825DD941A71187C69E4A8A78" ma:contentTypeVersion="4" ma:contentTypeDescription="Create a new document." ma:contentTypeScope="" ma:versionID="edc7de5e891c926dcb06cf1197e5c4f3">
  <xsd:schema xmlns:xsd="http://www.w3.org/2001/XMLSchema" xmlns:xs="http://www.w3.org/2001/XMLSchema" xmlns:p="http://schemas.microsoft.com/office/2006/metadata/properties" xmlns:ns2="615d18d9-452f-477a-bf07-155f18a07cb2" targetNamespace="http://schemas.microsoft.com/office/2006/metadata/properties" ma:root="true" ma:fieldsID="fa4d391f2fc7809bf88b1827a0a94d33" ns2:_="">
    <xsd:import namespace="615d18d9-452f-477a-bf07-155f18a07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18d9-452f-477a-bf07-155f18a07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B8D27-2F17-4AAA-9562-EE90FB48C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B6118-197F-4E08-B191-6B0C842920D4}"/>
</file>

<file path=customXml/itemProps3.xml><?xml version="1.0" encoding="utf-8"?>
<ds:datastoreItem xmlns:ds="http://schemas.openxmlformats.org/officeDocument/2006/customXml" ds:itemID="{51A36B8E-10A6-4FC7-9849-6FB4A8E16A3E}"/>
</file>

<file path=customXml/itemProps4.xml><?xml version="1.0" encoding="utf-8"?>
<ds:datastoreItem xmlns:ds="http://schemas.openxmlformats.org/officeDocument/2006/customXml" ds:itemID="{4B5FC1C8-E8BE-4FCF-9000-16260D22E3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Doug Cross</cp:lastModifiedBy>
  <cp:revision>2</cp:revision>
  <cp:lastPrinted>2023-10-12T05:14:00Z</cp:lastPrinted>
  <dcterms:created xsi:type="dcterms:W3CDTF">2024-03-05T01:20:00Z</dcterms:created>
  <dcterms:modified xsi:type="dcterms:W3CDTF">2024-03-05T01:20:00Z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0x010100E60A1FD6825DD941A71187C69E4A8A78</vt:lpwstr>
  </property>
</Properties>
</file>