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5066A4AE" w:rsidR="009E5199" w:rsidRDefault="001B1CCD" w:rsidP="002C7007">
      <w:pPr>
        <w:pStyle w:val="NoSpacing"/>
        <w:jc w:val="center"/>
        <w:rPr>
          <w:rFonts w:ascii="Montserrat" w:hAnsi="Montserrat"/>
          <w:b/>
          <w:bCs/>
          <w:color w:val="093C61"/>
          <w:sz w:val="80"/>
          <w:szCs w:val="80"/>
        </w:rPr>
      </w:pPr>
      <w:r w:rsidRPr="001B1CCD">
        <w:rPr>
          <w:rFonts w:ascii="Montserrat" w:hAnsi="Montserrat"/>
          <w:b/>
          <w:bCs/>
          <w:color w:val="093C61"/>
          <w:sz w:val="80"/>
          <w:szCs w:val="80"/>
        </w:rPr>
        <w:t>Contractor Management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4CE75615" w14:textId="62024BD4" w:rsidR="00DB12D2"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536" w:history="1">
        <w:r w:rsidR="00DB12D2" w:rsidRPr="00E343BE">
          <w:rPr>
            <w:rStyle w:val="Hyperlink"/>
            <w:noProof/>
          </w:rPr>
          <w:t>Contractor Management Procedure</w:t>
        </w:r>
        <w:r w:rsidR="00DB12D2">
          <w:rPr>
            <w:noProof/>
            <w:webHidden/>
          </w:rPr>
          <w:tab/>
        </w:r>
        <w:r w:rsidR="00DB12D2">
          <w:rPr>
            <w:noProof/>
            <w:webHidden/>
          </w:rPr>
          <w:fldChar w:fldCharType="begin"/>
        </w:r>
        <w:r w:rsidR="00DB12D2">
          <w:rPr>
            <w:noProof/>
            <w:webHidden/>
          </w:rPr>
          <w:instrText xml:space="preserve"> PAGEREF _Toc159005536 \h </w:instrText>
        </w:r>
        <w:r w:rsidR="00DB12D2">
          <w:rPr>
            <w:noProof/>
            <w:webHidden/>
          </w:rPr>
        </w:r>
        <w:r w:rsidR="00DB12D2">
          <w:rPr>
            <w:noProof/>
            <w:webHidden/>
          </w:rPr>
          <w:fldChar w:fldCharType="separate"/>
        </w:r>
        <w:r w:rsidR="00DB12D2">
          <w:rPr>
            <w:noProof/>
            <w:webHidden/>
          </w:rPr>
          <w:t>1</w:t>
        </w:r>
        <w:r w:rsidR="00DB12D2">
          <w:rPr>
            <w:noProof/>
            <w:webHidden/>
          </w:rPr>
          <w:fldChar w:fldCharType="end"/>
        </w:r>
      </w:hyperlink>
    </w:p>
    <w:p w14:paraId="61DE4D93" w14:textId="324CA1A8" w:rsidR="00DB12D2" w:rsidRDefault="00DB12D2">
      <w:pPr>
        <w:pStyle w:val="TOC2"/>
        <w:rPr>
          <w:rFonts w:asciiTheme="minorHAnsi" w:hAnsiTheme="minorHAnsi"/>
          <w:noProof/>
          <w:lang w:val="en-US" w:eastAsia="en-US"/>
        </w:rPr>
      </w:pPr>
      <w:hyperlink w:anchor="_Toc159005537" w:history="1">
        <w:r w:rsidRPr="00E343BE">
          <w:rPr>
            <w:rStyle w:val="Hyperlink"/>
            <w:noProof/>
          </w:rPr>
          <w:t>Purpose:</w:t>
        </w:r>
        <w:r>
          <w:rPr>
            <w:noProof/>
            <w:webHidden/>
          </w:rPr>
          <w:tab/>
        </w:r>
        <w:r>
          <w:rPr>
            <w:noProof/>
            <w:webHidden/>
          </w:rPr>
          <w:fldChar w:fldCharType="begin"/>
        </w:r>
        <w:r>
          <w:rPr>
            <w:noProof/>
            <w:webHidden/>
          </w:rPr>
          <w:instrText xml:space="preserve"> PAGEREF _Toc159005537 \h </w:instrText>
        </w:r>
        <w:r>
          <w:rPr>
            <w:noProof/>
            <w:webHidden/>
          </w:rPr>
        </w:r>
        <w:r>
          <w:rPr>
            <w:noProof/>
            <w:webHidden/>
          </w:rPr>
          <w:fldChar w:fldCharType="separate"/>
        </w:r>
        <w:r>
          <w:rPr>
            <w:noProof/>
            <w:webHidden/>
          </w:rPr>
          <w:t>1</w:t>
        </w:r>
        <w:r>
          <w:rPr>
            <w:noProof/>
            <w:webHidden/>
          </w:rPr>
          <w:fldChar w:fldCharType="end"/>
        </w:r>
      </w:hyperlink>
    </w:p>
    <w:p w14:paraId="2852FA76" w14:textId="3145B101" w:rsidR="00DB12D2" w:rsidRDefault="00DB12D2">
      <w:pPr>
        <w:pStyle w:val="TOC2"/>
        <w:rPr>
          <w:rFonts w:asciiTheme="minorHAnsi" w:hAnsiTheme="minorHAnsi"/>
          <w:noProof/>
          <w:lang w:val="en-US" w:eastAsia="en-US"/>
        </w:rPr>
      </w:pPr>
      <w:hyperlink w:anchor="_Toc159005538" w:history="1">
        <w:r w:rsidRPr="00E343BE">
          <w:rPr>
            <w:rStyle w:val="Hyperlink"/>
            <w:noProof/>
          </w:rPr>
          <w:t>Scope:</w:t>
        </w:r>
        <w:r>
          <w:rPr>
            <w:noProof/>
            <w:webHidden/>
          </w:rPr>
          <w:tab/>
        </w:r>
        <w:r>
          <w:rPr>
            <w:noProof/>
            <w:webHidden/>
          </w:rPr>
          <w:fldChar w:fldCharType="begin"/>
        </w:r>
        <w:r>
          <w:rPr>
            <w:noProof/>
            <w:webHidden/>
          </w:rPr>
          <w:instrText xml:space="preserve"> PAGEREF _Toc159005538 \h </w:instrText>
        </w:r>
        <w:r>
          <w:rPr>
            <w:noProof/>
            <w:webHidden/>
          </w:rPr>
        </w:r>
        <w:r>
          <w:rPr>
            <w:noProof/>
            <w:webHidden/>
          </w:rPr>
          <w:fldChar w:fldCharType="separate"/>
        </w:r>
        <w:r>
          <w:rPr>
            <w:noProof/>
            <w:webHidden/>
          </w:rPr>
          <w:t>1</w:t>
        </w:r>
        <w:r>
          <w:rPr>
            <w:noProof/>
            <w:webHidden/>
          </w:rPr>
          <w:fldChar w:fldCharType="end"/>
        </w:r>
      </w:hyperlink>
    </w:p>
    <w:p w14:paraId="125F5697" w14:textId="66F17283" w:rsidR="00DB12D2" w:rsidRDefault="00DB12D2">
      <w:pPr>
        <w:pStyle w:val="TOC2"/>
        <w:rPr>
          <w:rFonts w:asciiTheme="minorHAnsi" w:hAnsiTheme="minorHAnsi"/>
          <w:noProof/>
          <w:lang w:val="en-US" w:eastAsia="en-US"/>
        </w:rPr>
      </w:pPr>
      <w:hyperlink w:anchor="_Toc159005539" w:history="1">
        <w:r w:rsidRPr="00E343BE">
          <w:rPr>
            <w:rStyle w:val="Hyperlink"/>
            <w:noProof/>
          </w:rPr>
          <w:t>Procedure:</w:t>
        </w:r>
        <w:r>
          <w:rPr>
            <w:noProof/>
            <w:webHidden/>
          </w:rPr>
          <w:tab/>
        </w:r>
        <w:r>
          <w:rPr>
            <w:noProof/>
            <w:webHidden/>
          </w:rPr>
          <w:fldChar w:fldCharType="begin"/>
        </w:r>
        <w:r>
          <w:rPr>
            <w:noProof/>
            <w:webHidden/>
          </w:rPr>
          <w:instrText xml:space="preserve"> PAGEREF _Toc159005539 \h </w:instrText>
        </w:r>
        <w:r>
          <w:rPr>
            <w:noProof/>
            <w:webHidden/>
          </w:rPr>
        </w:r>
        <w:r>
          <w:rPr>
            <w:noProof/>
            <w:webHidden/>
          </w:rPr>
          <w:fldChar w:fldCharType="separate"/>
        </w:r>
        <w:r>
          <w:rPr>
            <w:noProof/>
            <w:webHidden/>
          </w:rPr>
          <w:t>1</w:t>
        </w:r>
        <w:r>
          <w:rPr>
            <w:noProof/>
            <w:webHidden/>
          </w:rPr>
          <w:fldChar w:fldCharType="end"/>
        </w:r>
      </w:hyperlink>
    </w:p>
    <w:p w14:paraId="6D8B48B6" w14:textId="6E898A89"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C755D21" w14:textId="63DEFBB6" w:rsidR="001B1CCD" w:rsidRDefault="001B1CCD" w:rsidP="00DE7AC9">
      <w:pPr>
        <w:pStyle w:val="Heading1"/>
      </w:pPr>
      <w:bookmarkStart w:id="1" w:name="_Toc159005536"/>
      <w:r w:rsidRPr="001B1CCD">
        <w:lastRenderedPageBreak/>
        <w:t>Contractor Management Procedure</w:t>
      </w:r>
      <w:bookmarkEnd w:id="1"/>
    </w:p>
    <w:p w14:paraId="7128A368" w14:textId="77777777" w:rsidR="001B1CCD" w:rsidRDefault="001B1CCD" w:rsidP="00DE7AC9">
      <w:pPr>
        <w:pStyle w:val="Heading2"/>
      </w:pPr>
      <w:bookmarkStart w:id="2" w:name="_Toc159005537"/>
      <w:r>
        <w:t>Purpose:</w:t>
      </w:r>
      <w:bookmarkEnd w:id="2"/>
    </w:p>
    <w:p w14:paraId="3F11ADBD" w14:textId="77777777" w:rsidR="001B1CCD" w:rsidRDefault="001B1CCD" w:rsidP="001B1CCD">
      <w:pPr>
        <w:pStyle w:val="BodyText"/>
      </w:pPr>
      <w:r>
        <w:t>The purpose of this procedure is to ensure that all contractors understand:</w:t>
      </w:r>
    </w:p>
    <w:p w14:paraId="2443074D" w14:textId="65E9D623" w:rsidR="001B1CCD" w:rsidRPr="00DE7AC9" w:rsidRDefault="001B1CCD" w:rsidP="00DE7AC9">
      <w:pPr>
        <w:numPr>
          <w:ilvl w:val="0"/>
          <w:numId w:val="15"/>
        </w:numPr>
        <w:tabs>
          <w:tab w:val="clear" w:pos="360"/>
          <w:tab w:val="num" w:pos="423"/>
          <w:tab w:val="center" w:pos="4153"/>
          <w:tab w:val="right" w:pos="8306"/>
        </w:tabs>
        <w:spacing w:after="0" w:line="240" w:lineRule="auto"/>
        <w:ind w:left="423"/>
        <w:rPr>
          <w:rFonts w:ascii="Century Gothic" w:hAnsi="Century Gothic"/>
          <w:color w:val="093C61"/>
          <w:sz w:val="20"/>
          <w:lang w:eastAsia="en-AU"/>
        </w:rPr>
      </w:pPr>
      <w:r w:rsidRPr="00DE7AC9">
        <w:rPr>
          <w:rFonts w:ascii="Century Gothic" w:hAnsi="Century Gothic"/>
          <w:color w:val="093C61"/>
          <w:sz w:val="20"/>
          <w:lang w:eastAsia="en-AU"/>
        </w:rPr>
        <w:t>their obligations in relation to maintaining a healthy and safe workplace during their work at the Car Wash and to have appropriate insurances in place.</w:t>
      </w:r>
    </w:p>
    <w:p w14:paraId="3A7BCE12" w14:textId="7511F245" w:rsidR="001B1CCD" w:rsidRPr="00DE7AC9" w:rsidRDefault="001B1CCD" w:rsidP="00DE7AC9">
      <w:pPr>
        <w:numPr>
          <w:ilvl w:val="0"/>
          <w:numId w:val="15"/>
        </w:numPr>
        <w:tabs>
          <w:tab w:val="clear" w:pos="360"/>
          <w:tab w:val="num" w:pos="423"/>
          <w:tab w:val="center" w:pos="4153"/>
          <w:tab w:val="right" w:pos="8306"/>
        </w:tabs>
        <w:spacing w:after="0" w:line="240" w:lineRule="auto"/>
        <w:ind w:left="423"/>
        <w:rPr>
          <w:rFonts w:ascii="Century Gothic" w:hAnsi="Century Gothic"/>
          <w:color w:val="093C61"/>
          <w:sz w:val="20"/>
          <w:lang w:eastAsia="en-AU"/>
        </w:rPr>
      </w:pPr>
      <w:r w:rsidRPr="00DE7AC9">
        <w:rPr>
          <w:rFonts w:ascii="Century Gothic" w:hAnsi="Century Gothic"/>
          <w:color w:val="093C61"/>
          <w:sz w:val="20"/>
          <w:lang w:eastAsia="en-AU"/>
        </w:rPr>
        <w:t>the work environment related to the project, so they work as safely as possible and to ensure health, safety and environmental issues are known and addressed.</w:t>
      </w:r>
    </w:p>
    <w:p w14:paraId="3F6FDBF8" w14:textId="77777777" w:rsidR="001B1CCD" w:rsidRDefault="001B1CCD" w:rsidP="00DE7AC9">
      <w:pPr>
        <w:pStyle w:val="Heading2"/>
      </w:pPr>
      <w:bookmarkStart w:id="3" w:name="_Toc159005538"/>
      <w:r>
        <w:t>Scope:</w:t>
      </w:r>
      <w:bookmarkEnd w:id="3"/>
    </w:p>
    <w:p w14:paraId="41567D0E" w14:textId="77777777" w:rsidR="001B1CCD" w:rsidRDefault="001B1CCD" w:rsidP="001B1CCD">
      <w:pPr>
        <w:pStyle w:val="BodyText"/>
      </w:pPr>
      <w:r>
        <w:t>This procedure applies to all contractors engaged to work for the Car Wash.</w:t>
      </w:r>
    </w:p>
    <w:p w14:paraId="5380AFA3" w14:textId="5BB767F7" w:rsidR="00607B9F" w:rsidRDefault="001B1CCD" w:rsidP="00DE7AC9">
      <w:pPr>
        <w:pStyle w:val="Heading2"/>
      </w:pPr>
      <w:bookmarkStart w:id="4" w:name="_Toc159005539"/>
      <w:r>
        <w:t>Procedure:</w:t>
      </w:r>
      <w:bookmarkEnd w:id="4"/>
    </w:p>
    <w:tbl>
      <w:tblPr>
        <w:tblStyle w:val="TableGrid"/>
        <w:tblW w:w="5000" w:type="pct"/>
        <w:tblLook w:val="01E0" w:firstRow="1" w:lastRow="1" w:firstColumn="1" w:lastColumn="1" w:noHBand="0" w:noVBand="0"/>
      </w:tblPr>
      <w:tblGrid>
        <w:gridCol w:w="2019"/>
        <w:gridCol w:w="4573"/>
        <w:gridCol w:w="2424"/>
      </w:tblGrid>
      <w:tr w:rsidR="001B1CCD" w:rsidRPr="00C9519B" w14:paraId="127FF778" w14:textId="77777777" w:rsidTr="00DE7AC9">
        <w:trPr>
          <w:cnfStyle w:val="100000000000" w:firstRow="1" w:lastRow="0" w:firstColumn="0" w:lastColumn="0" w:oddVBand="0" w:evenVBand="0" w:oddHBand="0" w:evenHBand="0" w:firstRowFirstColumn="0" w:firstRowLastColumn="0" w:lastRowFirstColumn="0" w:lastRowLastColumn="0"/>
          <w:trHeight w:val="144"/>
          <w:tblHeader/>
        </w:trPr>
        <w:tc>
          <w:tcPr>
            <w:tcW w:w="1120" w:type="pct"/>
            <w:vAlign w:val="bottom"/>
          </w:tcPr>
          <w:p w14:paraId="149B7CCF" w14:textId="3E979345" w:rsidR="001B1CCD" w:rsidRPr="001B1CCD" w:rsidRDefault="001B1CCD" w:rsidP="001B1CCD">
            <w:pPr>
              <w:jc w:val="center"/>
              <w:rPr>
                <w:bCs/>
                <w:sz w:val="24"/>
                <w:szCs w:val="24"/>
              </w:rPr>
            </w:pPr>
            <w:r w:rsidRPr="001B1CCD">
              <w:rPr>
                <w:bCs/>
                <w:lang w:eastAsia="en-AU"/>
              </w:rPr>
              <w:t>Process</w:t>
            </w:r>
          </w:p>
        </w:tc>
        <w:tc>
          <w:tcPr>
            <w:tcW w:w="2535" w:type="pct"/>
            <w:vAlign w:val="bottom"/>
          </w:tcPr>
          <w:p w14:paraId="2C0FD6A9" w14:textId="57F989D1" w:rsidR="001B1CCD" w:rsidRPr="001B1CCD" w:rsidRDefault="001B1CCD" w:rsidP="001B1CCD">
            <w:pPr>
              <w:jc w:val="center"/>
              <w:rPr>
                <w:bCs/>
                <w:sz w:val="24"/>
                <w:szCs w:val="24"/>
              </w:rPr>
            </w:pPr>
            <w:r w:rsidRPr="001B1CCD">
              <w:rPr>
                <w:bCs/>
                <w:lang w:eastAsia="en-AU"/>
              </w:rPr>
              <w:t>Methodology</w:t>
            </w:r>
          </w:p>
        </w:tc>
        <w:tc>
          <w:tcPr>
            <w:tcW w:w="1344" w:type="pct"/>
            <w:vAlign w:val="bottom"/>
          </w:tcPr>
          <w:p w14:paraId="76AAD37A" w14:textId="1B290945" w:rsidR="001B1CCD" w:rsidRPr="001B1CCD" w:rsidRDefault="001B1CCD" w:rsidP="001B1CCD">
            <w:pPr>
              <w:jc w:val="center"/>
              <w:rPr>
                <w:bCs/>
                <w:sz w:val="24"/>
                <w:szCs w:val="24"/>
              </w:rPr>
            </w:pPr>
            <w:r w:rsidRPr="001B1CCD">
              <w:rPr>
                <w:bCs/>
                <w:lang w:eastAsia="en-AU"/>
              </w:rPr>
              <w:t>Documentation</w:t>
            </w:r>
          </w:p>
        </w:tc>
      </w:tr>
      <w:tr w:rsidR="001B1CCD" w:rsidRPr="00565C66" w14:paraId="39CB426A" w14:textId="77777777" w:rsidTr="001B1CCD">
        <w:trPr>
          <w:trHeight w:val="299"/>
        </w:trPr>
        <w:tc>
          <w:tcPr>
            <w:tcW w:w="1120" w:type="pct"/>
          </w:tcPr>
          <w:p w14:paraId="52456BB8" w14:textId="15F453BF" w:rsidR="001B1CCD" w:rsidRDefault="001B1CCD" w:rsidP="001B1CCD">
            <w:pPr>
              <w:spacing w:line="300" w:lineRule="exact"/>
            </w:pPr>
            <w:r>
              <w:rPr>
                <w:lang w:eastAsia="en-AU"/>
              </w:rPr>
              <w:t>Assessment and Induction</w:t>
            </w:r>
          </w:p>
        </w:tc>
        <w:tc>
          <w:tcPr>
            <w:tcW w:w="2535" w:type="pct"/>
          </w:tcPr>
          <w:p w14:paraId="4C42435E" w14:textId="593D7BBC" w:rsidR="001B1CCD" w:rsidRPr="00462CB6" w:rsidRDefault="001B1CCD" w:rsidP="001B1CCD">
            <w:pPr>
              <w:spacing w:line="300" w:lineRule="exact"/>
            </w:pPr>
            <w:r>
              <w:rPr>
                <w:lang w:eastAsia="en-AU"/>
              </w:rPr>
              <w:t>Contractors will be assessed as to their ability to comply with health and safety and allied legislation. This form should be mailed out to contractors (with an explanatory letter) and returned prior to them commencing work</w:t>
            </w:r>
          </w:p>
        </w:tc>
        <w:tc>
          <w:tcPr>
            <w:tcW w:w="1344" w:type="pct"/>
          </w:tcPr>
          <w:p w14:paraId="26C0C1BA" w14:textId="77777777" w:rsidR="001B1CCD" w:rsidRDefault="001B1CCD" w:rsidP="001B1CCD">
            <w:pPr>
              <w:numPr>
                <w:ilvl w:val="0"/>
                <w:numId w:val="15"/>
              </w:numPr>
              <w:tabs>
                <w:tab w:val="clear" w:pos="360"/>
                <w:tab w:val="num" w:pos="423"/>
                <w:tab w:val="center" w:pos="4153"/>
                <w:tab w:val="right" w:pos="8306"/>
              </w:tabs>
              <w:ind w:left="423"/>
              <w:rPr>
                <w:lang w:eastAsia="en-AU"/>
              </w:rPr>
            </w:pPr>
            <w:r>
              <w:rPr>
                <w:lang w:eastAsia="en-AU"/>
              </w:rPr>
              <w:t xml:space="preserve">Contractor Health and Safety Assessment </w:t>
            </w:r>
          </w:p>
          <w:p w14:paraId="251F389A" w14:textId="0841B5A0" w:rsidR="001B1CCD" w:rsidRPr="004B082D" w:rsidRDefault="001B1CCD" w:rsidP="001B1CCD">
            <w:pPr>
              <w:spacing w:line="300" w:lineRule="exact"/>
            </w:pPr>
          </w:p>
        </w:tc>
      </w:tr>
      <w:tr w:rsidR="001B1CCD" w:rsidRPr="00565C66" w14:paraId="63B64B30" w14:textId="77777777" w:rsidTr="001B1CCD">
        <w:trPr>
          <w:trHeight w:val="299"/>
        </w:trPr>
        <w:tc>
          <w:tcPr>
            <w:tcW w:w="1120" w:type="pct"/>
            <w:vAlign w:val="center"/>
          </w:tcPr>
          <w:p w14:paraId="45BFA783" w14:textId="6F60838E" w:rsidR="001B1CCD" w:rsidRDefault="001B1CCD" w:rsidP="001B1CCD">
            <w:pPr>
              <w:spacing w:line="300" w:lineRule="exact"/>
            </w:pPr>
          </w:p>
        </w:tc>
        <w:tc>
          <w:tcPr>
            <w:tcW w:w="2535" w:type="pct"/>
          </w:tcPr>
          <w:p w14:paraId="648A1F9C" w14:textId="4BD4BBA9" w:rsidR="001B1CCD" w:rsidRPr="00462CB6" w:rsidRDefault="001B1CCD" w:rsidP="001B1CCD">
            <w:pPr>
              <w:spacing w:line="300" w:lineRule="exact"/>
            </w:pPr>
            <w:r>
              <w:rPr>
                <w:lang w:eastAsia="en-AU"/>
              </w:rPr>
              <w:t>Contractors will be required to complete the Health and Safety Assessment annually to coincide with the payment of their public liability insurance premium</w:t>
            </w:r>
          </w:p>
        </w:tc>
        <w:tc>
          <w:tcPr>
            <w:tcW w:w="1344" w:type="pct"/>
          </w:tcPr>
          <w:p w14:paraId="3B3019FC" w14:textId="77777777" w:rsidR="001B1CCD" w:rsidRDefault="001B1CCD" w:rsidP="001B1CCD">
            <w:pPr>
              <w:numPr>
                <w:ilvl w:val="0"/>
                <w:numId w:val="15"/>
              </w:numPr>
              <w:tabs>
                <w:tab w:val="clear" w:pos="360"/>
                <w:tab w:val="num" w:pos="423"/>
                <w:tab w:val="center" w:pos="4153"/>
                <w:tab w:val="right" w:pos="8306"/>
              </w:tabs>
              <w:ind w:left="423"/>
              <w:rPr>
                <w:lang w:eastAsia="en-AU"/>
              </w:rPr>
            </w:pPr>
            <w:r>
              <w:rPr>
                <w:lang w:eastAsia="en-AU"/>
              </w:rPr>
              <w:t xml:space="preserve">Contractor Health and Safety Assessment </w:t>
            </w:r>
          </w:p>
          <w:p w14:paraId="21EB8767" w14:textId="1F2C36A5" w:rsidR="001B1CCD" w:rsidRPr="004B082D" w:rsidRDefault="001B1CCD" w:rsidP="001B1CCD">
            <w:pPr>
              <w:spacing w:line="300" w:lineRule="exact"/>
            </w:pPr>
          </w:p>
        </w:tc>
      </w:tr>
      <w:tr w:rsidR="001B1CCD" w:rsidRPr="00565C66" w14:paraId="730987D2" w14:textId="77777777" w:rsidTr="001B1CCD">
        <w:trPr>
          <w:trHeight w:val="299"/>
        </w:trPr>
        <w:tc>
          <w:tcPr>
            <w:tcW w:w="1120" w:type="pct"/>
          </w:tcPr>
          <w:p w14:paraId="53625FD1" w14:textId="3F61BF59" w:rsidR="001B1CCD" w:rsidRDefault="001B1CCD" w:rsidP="001B1CCD">
            <w:pPr>
              <w:spacing w:line="300" w:lineRule="exact"/>
            </w:pPr>
            <w:r>
              <w:rPr>
                <w:lang w:eastAsia="en-AU"/>
              </w:rPr>
              <w:t>Risk Management</w:t>
            </w:r>
          </w:p>
        </w:tc>
        <w:tc>
          <w:tcPr>
            <w:tcW w:w="2535" w:type="pct"/>
          </w:tcPr>
          <w:p w14:paraId="0002C3F9" w14:textId="23F69B44" w:rsidR="001B1CCD" w:rsidRPr="00A840EB" w:rsidRDefault="001B1CCD" w:rsidP="001B1CCD">
            <w:pPr>
              <w:spacing w:line="300" w:lineRule="exact"/>
              <w:rPr>
                <w:szCs w:val="20"/>
              </w:rPr>
            </w:pPr>
            <w:r>
              <w:rPr>
                <w:lang w:eastAsia="en-AU"/>
              </w:rPr>
              <w:t>For hazardous tasks that are complex, unusual tasks or that require strategic planning and preparation, contractors may be required to complete a Safe Work Method Statement for these works in conjunction with Car Wash Management e.g., digging up driveways</w:t>
            </w:r>
          </w:p>
        </w:tc>
        <w:tc>
          <w:tcPr>
            <w:tcW w:w="1344" w:type="pct"/>
          </w:tcPr>
          <w:p w14:paraId="0524E248" w14:textId="46AF42B0" w:rsidR="001B1CCD" w:rsidRPr="00A840EB" w:rsidRDefault="001B1CCD" w:rsidP="001B1CCD">
            <w:pPr>
              <w:numPr>
                <w:ilvl w:val="0"/>
                <w:numId w:val="1"/>
              </w:numPr>
              <w:tabs>
                <w:tab w:val="clear" w:pos="360"/>
                <w:tab w:val="num" w:pos="423"/>
                <w:tab w:val="center" w:pos="4153"/>
                <w:tab w:val="right" w:pos="8306"/>
              </w:tabs>
              <w:ind w:left="423"/>
              <w:rPr>
                <w:szCs w:val="20"/>
              </w:rPr>
            </w:pPr>
            <w:r>
              <w:rPr>
                <w:lang w:eastAsia="en-AU"/>
              </w:rPr>
              <w:t xml:space="preserve">Safe Work Method Statement </w:t>
            </w:r>
          </w:p>
        </w:tc>
      </w:tr>
      <w:tr w:rsidR="001B1CCD" w:rsidRPr="00565C66" w14:paraId="777AC93C" w14:textId="77777777" w:rsidTr="001B1CCD">
        <w:trPr>
          <w:trHeight w:val="299"/>
        </w:trPr>
        <w:tc>
          <w:tcPr>
            <w:tcW w:w="1120" w:type="pct"/>
          </w:tcPr>
          <w:p w14:paraId="36100DDF" w14:textId="4C9E429D" w:rsidR="001B1CCD" w:rsidRPr="00A840EB" w:rsidRDefault="001B1CCD" w:rsidP="001B1CCD">
            <w:pPr>
              <w:spacing w:line="300" w:lineRule="exact"/>
              <w:rPr>
                <w:szCs w:val="20"/>
              </w:rPr>
            </w:pPr>
            <w:r>
              <w:rPr>
                <w:lang w:eastAsia="en-AU"/>
              </w:rPr>
              <w:t>Consultation and Reporting</w:t>
            </w:r>
          </w:p>
        </w:tc>
        <w:tc>
          <w:tcPr>
            <w:tcW w:w="2535" w:type="pct"/>
          </w:tcPr>
          <w:p w14:paraId="20F0F83C" w14:textId="6E6E515B" w:rsidR="001B1CCD" w:rsidRPr="00A840EB" w:rsidRDefault="001B1CCD" w:rsidP="001B1CCD">
            <w:pPr>
              <w:spacing w:line="300" w:lineRule="exact"/>
              <w:rPr>
                <w:szCs w:val="20"/>
              </w:rPr>
            </w:pPr>
            <w:r>
              <w:rPr>
                <w:lang w:eastAsia="en-AU"/>
              </w:rPr>
              <w:t>Contractors will be consulted in relation to any health and safety issues related to their work. Risks will be controlled to ensure work can proceed safely e.g., using barriers to isolate work areas from the public.</w:t>
            </w:r>
          </w:p>
        </w:tc>
        <w:tc>
          <w:tcPr>
            <w:tcW w:w="1344" w:type="pct"/>
          </w:tcPr>
          <w:p w14:paraId="576FCF91" w14:textId="19340579" w:rsidR="001B1CCD" w:rsidRPr="00A840EB" w:rsidRDefault="001B1CCD" w:rsidP="001B1CCD">
            <w:pPr>
              <w:numPr>
                <w:ilvl w:val="0"/>
                <w:numId w:val="1"/>
              </w:numPr>
              <w:tabs>
                <w:tab w:val="clear" w:pos="360"/>
                <w:tab w:val="num" w:pos="423"/>
                <w:tab w:val="center" w:pos="4153"/>
                <w:tab w:val="right" w:pos="8306"/>
              </w:tabs>
              <w:ind w:left="423"/>
              <w:rPr>
                <w:szCs w:val="20"/>
              </w:rPr>
            </w:pPr>
            <w:r>
              <w:rPr>
                <w:lang w:eastAsia="en-AU"/>
              </w:rPr>
              <w:t>Safe Work Method Statement</w:t>
            </w:r>
          </w:p>
        </w:tc>
      </w:tr>
      <w:tr w:rsidR="001B1CCD" w:rsidRPr="00565C66" w14:paraId="59BE30C9" w14:textId="77777777" w:rsidTr="001B1CCD">
        <w:trPr>
          <w:trHeight w:val="299"/>
        </w:trPr>
        <w:tc>
          <w:tcPr>
            <w:tcW w:w="1120" w:type="pct"/>
            <w:vAlign w:val="center"/>
          </w:tcPr>
          <w:p w14:paraId="7763135E" w14:textId="77777777" w:rsidR="001B1CCD" w:rsidRPr="00A840EB" w:rsidRDefault="001B1CCD" w:rsidP="001B1CCD">
            <w:pPr>
              <w:spacing w:line="300" w:lineRule="exact"/>
              <w:rPr>
                <w:szCs w:val="20"/>
              </w:rPr>
            </w:pPr>
          </w:p>
        </w:tc>
        <w:tc>
          <w:tcPr>
            <w:tcW w:w="2535" w:type="pct"/>
          </w:tcPr>
          <w:p w14:paraId="2EEB03F2" w14:textId="7BC2BEB5" w:rsidR="001B1CCD" w:rsidRPr="00A840EB" w:rsidRDefault="001B1CCD" w:rsidP="001B1CCD">
            <w:pPr>
              <w:spacing w:line="300" w:lineRule="exact"/>
              <w:rPr>
                <w:szCs w:val="20"/>
              </w:rPr>
            </w:pPr>
            <w:r>
              <w:rPr>
                <w:lang w:eastAsia="en-AU"/>
              </w:rPr>
              <w:t xml:space="preserve">Contractors will notify the car wash management of any accidents or incidents in relation to their contracted work </w:t>
            </w:r>
          </w:p>
        </w:tc>
        <w:tc>
          <w:tcPr>
            <w:tcW w:w="1344" w:type="pct"/>
          </w:tcPr>
          <w:p w14:paraId="09032C11" w14:textId="791B1817" w:rsidR="001B1CCD" w:rsidRPr="00A840EB" w:rsidRDefault="001B1CCD" w:rsidP="001B1CCD">
            <w:pPr>
              <w:numPr>
                <w:ilvl w:val="0"/>
                <w:numId w:val="1"/>
              </w:numPr>
              <w:tabs>
                <w:tab w:val="clear" w:pos="360"/>
                <w:tab w:val="num" w:pos="423"/>
                <w:tab w:val="center" w:pos="4153"/>
                <w:tab w:val="right" w:pos="8306"/>
              </w:tabs>
              <w:ind w:left="423"/>
              <w:rPr>
                <w:szCs w:val="20"/>
              </w:rPr>
            </w:pPr>
            <w:r>
              <w:rPr>
                <w:lang w:eastAsia="en-AU"/>
              </w:rPr>
              <w:t xml:space="preserve">Accident/Incident Report  </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9EA" w14:textId="77777777" w:rsidR="0060634E" w:rsidRDefault="0060634E" w:rsidP="007E4F87">
      <w:pPr>
        <w:spacing w:after="0" w:line="240" w:lineRule="auto"/>
      </w:pPr>
      <w:r>
        <w:separator/>
      </w:r>
    </w:p>
  </w:endnote>
  <w:endnote w:type="continuationSeparator" w:id="0">
    <w:p w14:paraId="3FB42EC4" w14:textId="77777777" w:rsidR="0060634E" w:rsidRDefault="0060634E"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AD4" w14:textId="77777777" w:rsidR="0060634E" w:rsidRDefault="0060634E" w:rsidP="007E4F87">
      <w:pPr>
        <w:spacing w:after="0" w:line="240" w:lineRule="auto"/>
      </w:pPr>
      <w:r>
        <w:separator/>
      </w:r>
    </w:p>
  </w:footnote>
  <w:footnote w:type="continuationSeparator" w:id="0">
    <w:p w14:paraId="0EE9CBAE" w14:textId="77777777" w:rsidR="0060634E" w:rsidRDefault="0060634E"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64A6381D" w:rsidR="001913C6" w:rsidRDefault="001913C6" w:rsidP="00421E9F">
          <w:pPr>
            <w:pStyle w:val="Header"/>
          </w:pPr>
          <w:r>
            <w:rPr>
              <w:color w:val="093C61"/>
              <w:sz w:val="16"/>
              <w:szCs w:val="16"/>
            </w:rPr>
            <w:t xml:space="preserve">Date: </w:t>
          </w:r>
          <w:r w:rsidR="00DE7AC9">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B1CCD"/>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634E"/>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B5DE0"/>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66C4"/>
    <w:rsid w:val="00AD4048"/>
    <w:rsid w:val="00AE0B0E"/>
    <w:rsid w:val="00AE23B3"/>
    <w:rsid w:val="00B03939"/>
    <w:rsid w:val="00B21AD6"/>
    <w:rsid w:val="00B24684"/>
    <w:rsid w:val="00B2784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2D2"/>
    <w:rsid w:val="00DB1AFF"/>
    <w:rsid w:val="00DB6F92"/>
    <w:rsid w:val="00DC2245"/>
    <w:rsid w:val="00DC4BAB"/>
    <w:rsid w:val="00DD0132"/>
    <w:rsid w:val="00DD7EBC"/>
    <w:rsid w:val="00DE7AC9"/>
    <w:rsid w:val="00DF4E68"/>
    <w:rsid w:val="00DF66F8"/>
    <w:rsid w:val="00E0153D"/>
    <w:rsid w:val="00E1791E"/>
    <w:rsid w:val="00E23CF9"/>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2679">
      <w:bodyDiv w:val="1"/>
      <w:marLeft w:val="0"/>
      <w:marRight w:val="0"/>
      <w:marTop w:val="0"/>
      <w:marBottom w:val="0"/>
      <w:divBdr>
        <w:top w:val="none" w:sz="0" w:space="0" w:color="auto"/>
        <w:left w:val="none" w:sz="0" w:space="0" w:color="auto"/>
        <w:bottom w:val="none" w:sz="0" w:space="0" w:color="auto"/>
        <w:right w:val="none" w:sz="0" w:space="0" w:color="auto"/>
      </w:divBdr>
    </w:div>
    <w:div w:id="1460225079">
      <w:bodyDiv w:val="1"/>
      <w:marLeft w:val="0"/>
      <w:marRight w:val="0"/>
      <w:marTop w:val="0"/>
      <w:marBottom w:val="0"/>
      <w:divBdr>
        <w:top w:val="none" w:sz="0" w:space="0" w:color="auto"/>
        <w:left w:val="none" w:sz="0" w:space="0" w:color="auto"/>
        <w:bottom w:val="none" w:sz="0" w:space="0" w:color="auto"/>
        <w:right w:val="none" w:sz="0" w:space="0" w:color="auto"/>
      </w:divBdr>
    </w:div>
    <w:div w:id="19088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90</cp:revision>
  <cp:lastPrinted>2023-10-12T05:14:00Z</cp:lastPrinted>
  <dcterms:created xsi:type="dcterms:W3CDTF">2023-10-19T19:13:00Z</dcterms:created>
  <dcterms:modified xsi:type="dcterms:W3CDTF">2024-02-16T14:52:00Z</dcterms:modified>
</cp:coreProperties>
</file>