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5D75E3C2" w14:textId="7B545CBE" w:rsidR="009E5199" w:rsidRDefault="00E835C6" w:rsidP="002C7007">
      <w:pPr>
        <w:pStyle w:val="NoSpacing"/>
        <w:jc w:val="center"/>
        <w:rPr>
          <w:rFonts w:ascii="Montserrat" w:hAnsi="Montserrat"/>
          <w:b/>
          <w:bCs/>
          <w:color w:val="093C61"/>
          <w:sz w:val="80"/>
          <w:szCs w:val="80"/>
        </w:rPr>
      </w:pPr>
      <w:r w:rsidRPr="00E835C6">
        <w:rPr>
          <w:rFonts w:ascii="Montserrat" w:hAnsi="Montserrat"/>
          <w:b/>
          <w:bCs/>
          <w:color w:val="093C61"/>
          <w:sz w:val="80"/>
          <w:szCs w:val="80"/>
        </w:rPr>
        <w:t>Chemical Management</w:t>
      </w:r>
      <w:r w:rsidR="00232ED0">
        <w:rPr>
          <w:rFonts w:ascii="Montserrat" w:hAnsi="Montserrat"/>
          <w:b/>
          <w:bCs/>
          <w:color w:val="093C61"/>
          <w:sz w:val="80"/>
          <w:szCs w:val="80"/>
        </w:rPr>
        <w:t xml:space="preserve"> </w:t>
      </w:r>
      <w:r w:rsidR="00232ED0" w:rsidRPr="00232ED0">
        <w:rPr>
          <w:rFonts w:ascii="Montserrat" w:hAnsi="Montserrat"/>
          <w:b/>
          <w:bCs/>
          <w:color w:val="093C61"/>
          <w:sz w:val="80"/>
          <w:szCs w:val="80"/>
        </w:rPr>
        <w:t>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5A60DA08" w:rsidR="009E5199" w:rsidRDefault="009E5199" w:rsidP="00CC5361">
      <w:pPr>
        <w:pStyle w:val="NoSpacing"/>
      </w:pPr>
    </w:p>
    <w:p w14:paraId="50993A19" w14:textId="2156BF14" w:rsidR="00E835C6" w:rsidRDefault="00E835C6" w:rsidP="00CC5361">
      <w:pPr>
        <w:pStyle w:val="NoSpacing"/>
      </w:pPr>
    </w:p>
    <w:p w14:paraId="17ED2E9F" w14:textId="012240C3" w:rsidR="00E835C6" w:rsidRDefault="00E835C6" w:rsidP="00CC5361">
      <w:pPr>
        <w:pStyle w:val="NoSpacing"/>
      </w:pPr>
    </w:p>
    <w:p w14:paraId="1A1B38C2" w14:textId="77777777" w:rsidR="00E835C6" w:rsidRDefault="00E835C6"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03CB5D5B" w14:textId="71AEB485" w:rsidR="004B2BAE"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5307" w:history="1">
        <w:r w:rsidR="004B2BAE" w:rsidRPr="00D961FF">
          <w:rPr>
            <w:rStyle w:val="Hyperlink"/>
            <w:noProof/>
          </w:rPr>
          <w:t>Chemical Management Procedure</w:t>
        </w:r>
        <w:r w:rsidR="004B2BAE">
          <w:rPr>
            <w:noProof/>
            <w:webHidden/>
          </w:rPr>
          <w:tab/>
        </w:r>
        <w:r w:rsidR="004B2BAE">
          <w:rPr>
            <w:noProof/>
            <w:webHidden/>
          </w:rPr>
          <w:fldChar w:fldCharType="begin"/>
        </w:r>
        <w:r w:rsidR="004B2BAE">
          <w:rPr>
            <w:noProof/>
            <w:webHidden/>
          </w:rPr>
          <w:instrText xml:space="preserve"> PAGEREF _Toc159005307 \h </w:instrText>
        </w:r>
        <w:r w:rsidR="004B2BAE">
          <w:rPr>
            <w:noProof/>
            <w:webHidden/>
          </w:rPr>
        </w:r>
        <w:r w:rsidR="004B2BAE">
          <w:rPr>
            <w:noProof/>
            <w:webHidden/>
          </w:rPr>
          <w:fldChar w:fldCharType="separate"/>
        </w:r>
        <w:r w:rsidR="004B2BAE">
          <w:rPr>
            <w:noProof/>
            <w:webHidden/>
          </w:rPr>
          <w:t>1</w:t>
        </w:r>
        <w:r w:rsidR="004B2BAE">
          <w:rPr>
            <w:noProof/>
            <w:webHidden/>
          </w:rPr>
          <w:fldChar w:fldCharType="end"/>
        </w:r>
      </w:hyperlink>
    </w:p>
    <w:p w14:paraId="2BC92D06" w14:textId="59AF9BD7" w:rsidR="004B2BAE" w:rsidRDefault="003B4611">
      <w:pPr>
        <w:pStyle w:val="TOC2"/>
        <w:rPr>
          <w:rFonts w:asciiTheme="minorHAnsi" w:hAnsiTheme="minorHAnsi"/>
          <w:noProof/>
          <w:lang w:val="en-US" w:eastAsia="en-US"/>
        </w:rPr>
      </w:pPr>
      <w:hyperlink w:anchor="_Toc159005308" w:history="1">
        <w:r w:rsidR="004B2BAE" w:rsidRPr="00D961FF">
          <w:rPr>
            <w:rStyle w:val="Hyperlink"/>
            <w:noProof/>
          </w:rPr>
          <w:t>Purpose:</w:t>
        </w:r>
        <w:r w:rsidR="004B2BAE">
          <w:rPr>
            <w:noProof/>
            <w:webHidden/>
          </w:rPr>
          <w:tab/>
        </w:r>
        <w:r w:rsidR="004B2BAE">
          <w:rPr>
            <w:noProof/>
            <w:webHidden/>
          </w:rPr>
          <w:fldChar w:fldCharType="begin"/>
        </w:r>
        <w:r w:rsidR="004B2BAE">
          <w:rPr>
            <w:noProof/>
            <w:webHidden/>
          </w:rPr>
          <w:instrText xml:space="preserve"> PAGEREF _Toc159005308 \h </w:instrText>
        </w:r>
        <w:r w:rsidR="004B2BAE">
          <w:rPr>
            <w:noProof/>
            <w:webHidden/>
          </w:rPr>
        </w:r>
        <w:r w:rsidR="004B2BAE">
          <w:rPr>
            <w:noProof/>
            <w:webHidden/>
          </w:rPr>
          <w:fldChar w:fldCharType="separate"/>
        </w:r>
        <w:r w:rsidR="004B2BAE">
          <w:rPr>
            <w:noProof/>
            <w:webHidden/>
          </w:rPr>
          <w:t>1</w:t>
        </w:r>
        <w:r w:rsidR="004B2BAE">
          <w:rPr>
            <w:noProof/>
            <w:webHidden/>
          </w:rPr>
          <w:fldChar w:fldCharType="end"/>
        </w:r>
      </w:hyperlink>
    </w:p>
    <w:p w14:paraId="5FD10529" w14:textId="0E3B64D7" w:rsidR="004B2BAE" w:rsidRDefault="003B4611">
      <w:pPr>
        <w:pStyle w:val="TOC2"/>
        <w:rPr>
          <w:rFonts w:asciiTheme="minorHAnsi" w:hAnsiTheme="minorHAnsi"/>
          <w:noProof/>
          <w:lang w:val="en-US" w:eastAsia="en-US"/>
        </w:rPr>
      </w:pPr>
      <w:hyperlink w:anchor="_Toc159005309" w:history="1">
        <w:r w:rsidR="004B2BAE" w:rsidRPr="00D961FF">
          <w:rPr>
            <w:rStyle w:val="Hyperlink"/>
            <w:noProof/>
          </w:rPr>
          <w:t>Scope:</w:t>
        </w:r>
        <w:r w:rsidR="004B2BAE">
          <w:rPr>
            <w:noProof/>
            <w:webHidden/>
          </w:rPr>
          <w:tab/>
        </w:r>
        <w:r w:rsidR="004B2BAE">
          <w:rPr>
            <w:noProof/>
            <w:webHidden/>
          </w:rPr>
          <w:fldChar w:fldCharType="begin"/>
        </w:r>
        <w:r w:rsidR="004B2BAE">
          <w:rPr>
            <w:noProof/>
            <w:webHidden/>
          </w:rPr>
          <w:instrText xml:space="preserve"> PAGEREF _Toc159005309 \h </w:instrText>
        </w:r>
        <w:r w:rsidR="004B2BAE">
          <w:rPr>
            <w:noProof/>
            <w:webHidden/>
          </w:rPr>
        </w:r>
        <w:r w:rsidR="004B2BAE">
          <w:rPr>
            <w:noProof/>
            <w:webHidden/>
          </w:rPr>
          <w:fldChar w:fldCharType="separate"/>
        </w:r>
        <w:r w:rsidR="004B2BAE">
          <w:rPr>
            <w:noProof/>
            <w:webHidden/>
          </w:rPr>
          <w:t>1</w:t>
        </w:r>
        <w:r w:rsidR="004B2BAE">
          <w:rPr>
            <w:noProof/>
            <w:webHidden/>
          </w:rPr>
          <w:fldChar w:fldCharType="end"/>
        </w:r>
      </w:hyperlink>
    </w:p>
    <w:p w14:paraId="70BFE8C2" w14:textId="69A6DD11" w:rsidR="004B2BAE" w:rsidRDefault="003B4611">
      <w:pPr>
        <w:pStyle w:val="TOC2"/>
        <w:rPr>
          <w:rFonts w:asciiTheme="minorHAnsi" w:hAnsiTheme="minorHAnsi"/>
          <w:noProof/>
          <w:lang w:val="en-US" w:eastAsia="en-US"/>
        </w:rPr>
      </w:pPr>
      <w:hyperlink w:anchor="_Toc159005310" w:history="1">
        <w:r w:rsidR="004B2BAE" w:rsidRPr="00D961FF">
          <w:rPr>
            <w:rStyle w:val="Hyperlink"/>
            <w:noProof/>
          </w:rPr>
          <w:t>Definitions:</w:t>
        </w:r>
        <w:r w:rsidR="004B2BAE">
          <w:rPr>
            <w:noProof/>
            <w:webHidden/>
          </w:rPr>
          <w:tab/>
        </w:r>
        <w:r w:rsidR="004B2BAE">
          <w:rPr>
            <w:noProof/>
            <w:webHidden/>
          </w:rPr>
          <w:fldChar w:fldCharType="begin"/>
        </w:r>
        <w:r w:rsidR="004B2BAE">
          <w:rPr>
            <w:noProof/>
            <w:webHidden/>
          </w:rPr>
          <w:instrText xml:space="preserve"> PAGEREF _Toc159005310 \h </w:instrText>
        </w:r>
        <w:r w:rsidR="004B2BAE">
          <w:rPr>
            <w:noProof/>
            <w:webHidden/>
          </w:rPr>
        </w:r>
        <w:r w:rsidR="004B2BAE">
          <w:rPr>
            <w:noProof/>
            <w:webHidden/>
          </w:rPr>
          <w:fldChar w:fldCharType="separate"/>
        </w:r>
        <w:r w:rsidR="004B2BAE">
          <w:rPr>
            <w:noProof/>
            <w:webHidden/>
          </w:rPr>
          <w:t>1</w:t>
        </w:r>
        <w:r w:rsidR="004B2BAE">
          <w:rPr>
            <w:noProof/>
            <w:webHidden/>
          </w:rPr>
          <w:fldChar w:fldCharType="end"/>
        </w:r>
      </w:hyperlink>
    </w:p>
    <w:p w14:paraId="0D5145C7" w14:textId="4FC4447F" w:rsidR="004B2BAE" w:rsidRDefault="003B4611">
      <w:pPr>
        <w:pStyle w:val="TOC2"/>
        <w:rPr>
          <w:rFonts w:asciiTheme="minorHAnsi" w:hAnsiTheme="minorHAnsi"/>
          <w:noProof/>
          <w:lang w:val="en-US" w:eastAsia="en-US"/>
        </w:rPr>
      </w:pPr>
      <w:hyperlink w:anchor="_Toc159005311" w:history="1">
        <w:r w:rsidR="004B2BAE" w:rsidRPr="00D961FF">
          <w:rPr>
            <w:rStyle w:val="Hyperlink"/>
            <w:noProof/>
          </w:rPr>
          <w:t>Procedure:</w:t>
        </w:r>
        <w:r w:rsidR="004B2BAE">
          <w:rPr>
            <w:noProof/>
            <w:webHidden/>
          </w:rPr>
          <w:tab/>
        </w:r>
        <w:r w:rsidR="004B2BAE">
          <w:rPr>
            <w:noProof/>
            <w:webHidden/>
          </w:rPr>
          <w:fldChar w:fldCharType="begin"/>
        </w:r>
        <w:r w:rsidR="004B2BAE">
          <w:rPr>
            <w:noProof/>
            <w:webHidden/>
          </w:rPr>
          <w:instrText xml:space="preserve"> PAGEREF _Toc159005311 \h </w:instrText>
        </w:r>
        <w:r w:rsidR="004B2BAE">
          <w:rPr>
            <w:noProof/>
            <w:webHidden/>
          </w:rPr>
        </w:r>
        <w:r w:rsidR="004B2BAE">
          <w:rPr>
            <w:noProof/>
            <w:webHidden/>
          </w:rPr>
          <w:fldChar w:fldCharType="separate"/>
        </w:r>
        <w:r w:rsidR="004B2BAE">
          <w:rPr>
            <w:noProof/>
            <w:webHidden/>
          </w:rPr>
          <w:t>1</w:t>
        </w:r>
        <w:r w:rsidR="004B2BAE">
          <w:rPr>
            <w:noProof/>
            <w:webHidden/>
          </w:rPr>
          <w:fldChar w:fldCharType="end"/>
        </w:r>
      </w:hyperlink>
    </w:p>
    <w:p w14:paraId="6D8B48B6" w14:textId="01EE9AF8"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33167B64" w14:textId="77777777" w:rsidR="00232ED0" w:rsidRDefault="00232ED0" w:rsidP="00623FC4">
      <w:pPr>
        <w:pStyle w:val="Heading1"/>
      </w:pPr>
      <w:bookmarkStart w:id="1" w:name="_Toc159005307"/>
      <w:r w:rsidRPr="00232ED0">
        <w:lastRenderedPageBreak/>
        <w:t>Chemical Management Procedure</w:t>
      </w:r>
      <w:bookmarkEnd w:id="1"/>
    </w:p>
    <w:p w14:paraId="3FE513BF" w14:textId="77777777" w:rsidR="00623FC4" w:rsidRDefault="00623FC4" w:rsidP="00623FC4">
      <w:pPr>
        <w:pStyle w:val="Heading2"/>
      </w:pPr>
      <w:bookmarkStart w:id="2" w:name="_Toc159005308"/>
      <w:r>
        <w:t>Purpose:</w:t>
      </w:r>
      <w:bookmarkEnd w:id="2"/>
    </w:p>
    <w:p w14:paraId="523356DC" w14:textId="77777777" w:rsidR="00623FC4" w:rsidRDefault="00623FC4" w:rsidP="00623FC4">
      <w:pPr>
        <w:pStyle w:val="BodyText"/>
      </w:pPr>
      <w:r>
        <w:t xml:space="preserve">To ensure that dangerous goods and hazardous substances are stored and handled in a safe manner that </w:t>
      </w:r>
      <w:proofErr w:type="spellStart"/>
      <w:r>
        <w:t>minimises</w:t>
      </w:r>
      <w:proofErr w:type="spellEnd"/>
      <w:r>
        <w:t xml:space="preserve"> the risk of injury, environmental impact or property damage</w:t>
      </w:r>
    </w:p>
    <w:p w14:paraId="631A3814" w14:textId="77777777" w:rsidR="00623FC4" w:rsidRDefault="00623FC4" w:rsidP="00623FC4">
      <w:pPr>
        <w:pStyle w:val="Heading2"/>
      </w:pPr>
      <w:bookmarkStart w:id="3" w:name="_Toc159005309"/>
      <w:r>
        <w:t>Scope:</w:t>
      </w:r>
      <w:bookmarkEnd w:id="3"/>
    </w:p>
    <w:p w14:paraId="7FE64362" w14:textId="77777777" w:rsidR="00623FC4" w:rsidRDefault="00623FC4" w:rsidP="00623FC4">
      <w:pPr>
        <w:pStyle w:val="BodyText"/>
      </w:pPr>
      <w:r>
        <w:t>This procedure applies to all chemicals classed as dangerous goods or hazardous substances used at the Car Wash.</w:t>
      </w:r>
    </w:p>
    <w:p w14:paraId="7913F78B" w14:textId="77777777" w:rsidR="00623FC4" w:rsidRDefault="00623FC4" w:rsidP="00623FC4">
      <w:pPr>
        <w:pStyle w:val="Heading2"/>
      </w:pPr>
      <w:bookmarkStart w:id="4" w:name="_Toc159005310"/>
      <w:r>
        <w:t>Definitions:</w:t>
      </w:r>
      <w:bookmarkEnd w:id="4"/>
      <w:r>
        <w:t xml:space="preserve"> </w:t>
      </w:r>
    </w:p>
    <w:p w14:paraId="0E0C7A59" w14:textId="77777777" w:rsidR="00623FC4" w:rsidRDefault="00623FC4" w:rsidP="00623FC4">
      <w:pPr>
        <w:pStyle w:val="BodyText"/>
      </w:pPr>
      <w:r>
        <w:t xml:space="preserve">A </w:t>
      </w:r>
      <w:r w:rsidRPr="00BA5ABA">
        <w:rPr>
          <w:b/>
          <w:bCs/>
        </w:rPr>
        <w:t>Safety Data Sheet (SDS)</w:t>
      </w:r>
      <w:r>
        <w:t xml:space="preserve"> is a document that describes the identity, properties, health hazards, precautions for use and safe handling of dangerous goods and hazardous substances. It is available from the supplier or manufacturer of the chemical</w:t>
      </w:r>
    </w:p>
    <w:p w14:paraId="0FBE5CB6" w14:textId="77777777" w:rsidR="00623FC4" w:rsidRDefault="00623FC4" w:rsidP="00623FC4">
      <w:pPr>
        <w:pStyle w:val="BodyText"/>
      </w:pPr>
      <w:r w:rsidRPr="00DC0A34">
        <w:rPr>
          <w:b/>
          <w:bCs/>
        </w:rPr>
        <w:t>Hazardous Substances</w:t>
      </w:r>
      <w:r>
        <w:t xml:space="preserve"> are substances that can cause health affects either immediate or long term. Hazardous Substances are defined on their individual Safety Data Sheet (SDS).</w:t>
      </w:r>
    </w:p>
    <w:p w14:paraId="14F76452" w14:textId="77777777" w:rsidR="00623FC4" w:rsidRDefault="00623FC4" w:rsidP="00623FC4">
      <w:pPr>
        <w:pStyle w:val="BodyText"/>
      </w:pPr>
      <w:r w:rsidRPr="00DC0A34">
        <w:rPr>
          <w:b/>
          <w:bCs/>
        </w:rPr>
        <w:t>Dangerous Goods</w:t>
      </w:r>
      <w:r>
        <w:t xml:space="preserve"> can cause immediate physical or chemical affects such as fire, explosion, corrosion and poisoning which affect property, people or the environment. Dangerous Goods are defined under the Australian Dangerous Goods Code. </w:t>
      </w:r>
    </w:p>
    <w:p w14:paraId="5380AFA3" w14:textId="3EE88A7B" w:rsidR="00607B9F" w:rsidRDefault="006F14B4" w:rsidP="00623FC4">
      <w:pPr>
        <w:pStyle w:val="Heading2"/>
      </w:pPr>
      <w:bookmarkStart w:id="5" w:name="_Toc159005311"/>
      <w:r>
        <w:t>Procedure:</w:t>
      </w:r>
      <w:bookmarkEnd w:id="5"/>
      <w:r w:rsidR="00607B9F">
        <w:t xml:space="preserve">  </w:t>
      </w:r>
    </w:p>
    <w:tbl>
      <w:tblPr>
        <w:tblStyle w:val="TableGrid"/>
        <w:tblW w:w="5000" w:type="pct"/>
        <w:tblLook w:val="01E0" w:firstRow="1" w:lastRow="1" w:firstColumn="1" w:lastColumn="1" w:noHBand="0" w:noVBand="0"/>
      </w:tblPr>
      <w:tblGrid>
        <w:gridCol w:w="2023"/>
        <w:gridCol w:w="4577"/>
        <w:gridCol w:w="2416"/>
      </w:tblGrid>
      <w:tr w:rsidR="001157B5" w:rsidRPr="00C9519B" w14:paraId="127FF778" w14:textId="77777777" w:rsidTr="00ED3F5B">
        <w:trPr>
          <w:cnfStyle w:val="100000000000" w:firstRow="1" w:lastRow="0" w:firstColumn="0" w:lastColumn="0" w:oddVBand="0" w:evenVBand="0" w:oddHBand="0" w:evenHBand="0" w:firstRowFirstColumn="0" w:firstRowLastColumn="0" w:lastRowFirstColumn="0" w:lastRowLastColumn="0"/>
          <w:trHeight w:val="144"/>
          <w:tblHeader/>
        </w:trPr>
        <w:tc>
          <w:tcPr>
            <w:tcW w:w="1122" w:type="pct"/>
          </w:tcPr>
          <w:p w14:paraId="149B7CCF" w14:textId="5BC1AA99" w:rsidR="001157B5" w:rsidRPr="00C9519B" w:rsidRDefault="001157B5" w:rsidP="001157B5">
            <w:pPr>
              <w:jc w:val="center"/>
              <w:rPr>
                <w:b w:val="0"/>
                <w:sz w:val="24"/>
                <w:szCs w:val="24"/>
              </w:rPr>
            </w:pPr>
            <w:r w:rsidRPr="006A3284">
              <w:t>Process</w:t>
            </w:r>
          </w:p>
        </w:tc>
        <w:tc>
          <w:tcPr>
            <w:tcW w:w="2538" w:type="pct"/>
          </w:tcPr>
          <w:p w14:paraId="2C0FD6A9" w14:textId="2FBA9436" w:rsidR="001157B5" w:rsidRPr="00C9519B" w:rsidRDefault="001157B5" w:rsidP="003A0DDE">
            <w:pPr>
              <w:jc w:val="both"/>
              <w:rPr>
                <w:b w:val="0"/>
                <w:sz w:val="24"/>
                <w:szCs w:val="24"/>
              </w:rPr>
            </w:pPr>
            <w:r w:rsidRPr="006A3284">
              <w:t>Methodology</w:t>
            </w:r>
          </w:p>
        </w:tc>
        <w:tc>
          <w:tcPr>
            <w:tcW w:w="1340" w:type="pct"/>
          </w:tcPr>
          <w:p w14:paraId="76AAD37A" w14:textId="23D4B349" w:rsidR="001157B5" w:rsidRPr="00C9519B" w:rsidRDefault="001157B5" w:rsidP="001157B5">
            <w:pPr>
              <w:jc w:val="center"/>
              <w:rPr>
                <w:b w:val="0"/>
                <w:sz w:val="24"/>
                <w:szCs w:val="24"/>
              </w:rPr>
            </w:pPr>
            <w:r w:rsidRPr="006A3284">
              <w:t>Records/Evidence</w:t>
            </w:r>
          </w:p>
        </w:tc>
      </w:tr>
      <w:tr w:rsidR="006A2E9F" w:rsidRPr="00565C66" w14:paraId="39CB426A" w14:textId="77777777" w:rsidTr="000D7046">
        <w:trPr>
          <w:trHeight w:val="299"/>
        </w:trPr>
        <w:tc>
          <w:tcPr>
            <w:tcW w:w="1122" w:type="pct"/>
            <w:vMerge w:val="restart"/>
          </w:tcPr>
          <w:p w14:paraId="52456BB8" w14:textId="5476CEC9" w:rsidR="006A2E9F" w:rsidRDefault="006A2E9F" w:rsidP="001157B5">
            <w:pPr>
              <w:spacing w:line="300" w:lineRule="exact"/>
            </w:pPr>
            <w:r>
              <w:rPr>
                <w:lang w:val="en-US"/>
              </w:rPr>
              <w:t>Safety Data Sheets</w:t>
            </w:r>
          </w:p>
        </w:tc>
        <w:tc>
          <w:tcPr>
            <w:tcW w:w="2538" w:type="pct"/>
          </w:tcPr>
          <w:p w14:paraId="4C42435E" w14:textId="6CE7E4A9" w:rsidR="006A2E9F" w:rsidRPr="00462CB6" w:rsidRDefault="006A2E9F" w:rsidP="003A0DDE">
            <w:pPr>
              <w:spacing w:line="300" w:lineRule="exact"/>
              <w:jc w:val="both"/>
            </w:pPr>
            <w:r w:rsidRPr="00903FD3">
              <w:t xml:space="preserve">Obtain </w:t>
            </w:r>
            <w:r>
              <w:t>Safety Data Sheets</w:t>
            </w:r>
            <w:r w:rsidRPr="00903FD3">
              <w:t xml:space="preserve"> (</w:t>
            </w:r>
            <w:r>
              <w:t>SDS</w:t>
            </w:r>
            <w:r w:rsidRPr="00903FD3">
              <w:t>) for all chemicals used at the Car Wash. These can be obtained from your supplier or directly from the Manufacturer</w:t>
            </w:r>
          </w:p>
        </w:tc>
        <w:tc>
          <w:tcPr>
            <w:tcW w:w="1340" w:type="pct"/>
          </w:tcPr>
          <w:p w14:paraId="251F389A" w14:textId="173C19F6" w:rsidR="006A2E9F" w:rsidRPr="004B082D" w:rsidRDefault="006A2E9F" w:rsidP="009938A8">
            <w:pPr>
              <w:numPr>
                <w:ilvl w:val="0"/>
                <w:numId w:val="1"/>
              </w:numPr>
              <w:tabs>
                <w:tab w:val="clear" w:pos="360"/>
                <w:tab w:val="num" w:pos="423"/>
                <w:tab w:val="center" w:pos="4153"/>
                <w:tab w:val="right" w:pos="8306"/>
              </w:tabs>
              <w:ind w:left="423"/>
            </w:pPr>
            <w:r>
              <w:t>SDS</w:t>
            </w:r>
            <w:r w:rsidRPr="00903FD3">
              <w:t xml:space="preserve"> Folder</w:t>
            </w:r>
          </w:p>
        </w:tc>
      </w:tr>
      <w:tr w:rsidR="006A2E9F" w:rsidRPr="00565C66" w14:paraId="63B64B30" w14:textId="77777777" w:rsidTr="000D7046">
        <w:trPr>
          <w:trHeight w:val="299"/>
        </w:trPr>
        <w:tc>
          <w:tcPr>
            <w:tcW w:w="1122" w:type="pct"/>
            <w:vMerge/>
          </w:tcPr>
          <w:p w14:paraId="45BFA783" w14:textId="6F60838E" w:rsidR="006A2E9F" w:rsidRDefault="006A2E9F" w:rsidP="001157B5">
            <w:pPr>
              <w:spacing w:line="300" w:lineRule="exact"/>
            </w:pPr>
          </w:p>
        </w:tc>
        <w:tc>
          <w:tcPr>
            <w:tcW w:w="2538" w:type="pct"/>
          </w:tcPr>
          <w:p w14:paraId="648A1F9C" w14:textId="77BCC1DD" w:rsidR="006A2E9F" w:rsidRPr="00462CB6" w:rsidRDefault="006A2E9F" w:rsidP="003A0DDE">
            <w:pPr>
              <w:spacing w:line="300" w:lineRule="exact"/>
              <w:jc w:val="both"/>
            </w:pPr>
            <w:r>
              <w:rPr>
                <w:lang w:val="en-US"/>
              </w:rPr>
              <w:t>Safety Data Sheets</w:t>
            </w:r>
            <w:r w:rsidRPr="00903FD3">
              <w:rPr>
                <w:lang w:val="en-US"/>
              </w:rPr>
              <w:t xml:space="preserve"> will </w:t>
            </w:r>
            <w:r>
              <w:rPr>
                <w:lang w:val="en-US"/>
              </w:rPr>
              <w:t xml:space="preserve">be </w:t>
            </w:r>
            <w:r w:rsidRPr="00903FD3">
              <w:rPr>
                <w:lang w:val="en-US"/>
              </w:rPr>
              <w:t>obtained if new hazardous materials are introduced into the Car Wash.</w:t>
            </w:r>
          </w:p>
        </w:tc>
        <w:tc>
          <w:tcPr>
            <w:tcW w:w="1340" w:type="pct"/>
          </w:tcPr>
          <w:p w14:paraId="21EB8767" w14:textId="1F6630C6" w:rsidR="006A2E9F" w:rsidRPr="004B082D" w:rsidRDefault="006A2E9F" w:rsidP="009938A8">
            <w:pPr>
              <w:numPr>
                <w:ilvl w:val="0"/>
                <w:numId w:val="1"/>
              </w:numPr>
              <w:tabs>
                <w:tab w:val="clear" w:pos="360"/>
                <w:tab w:val="num" w:pos="423"/>
                <w:tab w:val="center" w:pos="4153"/>
                <w:tab w:val="right" w:pos="8306"/>
              </w:tabs>
              <w:ind w:left="423"/>
            </w:pPr>
            <w:r>
              <w:t>SDS</w:t>
            </w:r>
            <w:r w:rsidRPr="00903FD3">
              <w:t xml:space="preserve"> Folder</w:t>
            </w:r>
          </w:p>
        </w:tc>
      </w:tr>
      <w:tr w:rsidR="006A2E9F" w:rsidRPr="00565C66" w14:paraId="730987D2" w14:textId="77777777" w:rsidTr="000D7046">
        <w:trPr>
          <w:trHeight w:val="299"/>
        </w:trPr>
        <w:tc>
          <w:tcPr>
            <w:tcW w:w="1122" w:type="pct"/>
            <w:vMerge/>
          </w:tcPr>
          <w:p w14:paraId="53625FD1" w14:textId="1DF5659F" w:rsidR="006A2E9F" w:rsidRDefault="006A2E9F" w:rsidP="001157B5">
            <w:pPr>
              <w:spacing w:line="300" w:lineRule="exact"/>
            </w:pPr>
          </w:p>
        </w:tc>
        <w:tc>
          <w:tcPr>
            <w:tcW w:w="2538" w:type="pct"/>
          </w:tcPr>
          <w:p w14:paraId="0002C3F9" w14:textId="2E69EE94" w:rsidR="006A2E9F" w:rsidRPr="00A840EB" w:rsidRDefault="006A2E9F" w:rsidP="003A0DDE">
            <w:pPr>
              <w:spacing w:line="300" w:lineRule="exact"/>
              <w:jc w:val="both"/>
              <w:rPr>
                <w:szCs w:val="20"/>
              </w:rPr>
            </w:pPr>
            <w:r w:rsidRPr="00903FD3">
              <w:t xml:space="preserve">Store  all </w:t>
            </w:r>
            <w:r>
              <w:t>SDS</w:t>
            </w:r>
            <w:r w:rsidRPr="00903FD3">
              <w:t xml:space="preserve"> sheets in a clearly labelled folder for easy access </w:t>
            </w:r>
            <w:r>
              <w:t xml:space="preserve">for reference or </w:t>
            </w:r>
            <w:r w:rsidRPr="00903FD3">
              <w:t>in case of injury or spill.</w:t>
            </w:r>
          </w:p>
        </w:tc>
        <w:tc>
          <w:tcPr>
            <w:tcW w:w="1340" w:type="pct"/>
          </w:tcPr>
          <w:p w14:paraId="0524E248" w14:textId="30F264A8" w:rsidR="006A2E9F" w:rsidRPr="00A840EB" w:rsidRDefault="006A2E9F" w:rsidP="001157B5">
            <w:pPr>
              <w:numPr>
                <w:ilvl w:val="0"/>
                <w:numId w:val="1"/>
              </w:numPr>
              <w:tabs>
                <w:tab w:val="clear" w:pos="360"/>
                <w:tab w:val="num" w:pos="423"/>
                <w:tab w:val="center" w:pos="4153"/>
                <w:tab w:val="right" w:pos="8306"/>
              </w:tabs>
              <w:ind w:left="423"/>
              <w:rPr>
                <w:szCs w:val="20"/>
              </w:rPr>
            </w:pPr>
            <w:r>
              <w:t>SDS</w:t>
            </w:r>
            <w:r w:rsidRPr="00903FD3">
              <w:t xml:space="preserve"> Folder</w:t>
            </w:r>
          </w:p>
        </w:tc>
      </w:tr>
      <w:tr w:rsidR="006A2E9F" w:rsidRPr="00565C66" w14:paraId="777AC93C" w14:textId="77777777" w:rsidTr="000D7046">
        <w:trPr>
          <w:trHeight w:val="299"/>
        </w:trPr>
        <w:tc>
          <w:tcPr>
            <w:tcW w:w="1122" w:type="pct"/>
            <w:vMerge/>
          </w:tcPr>
          <w:p w14:paraId="36100DDF" w14:textId="77777777" w:rsidR="006A2E9F" w:rsidRPr="00A840EB" w:rsidRDefault="006A2E9F" w:rsidP="001157B5">
            <w:pPr>
              <w:spacing w:line="300" w:lineRule="exact"/>
              <w:rPr>
                <w:szCs w:val="20"/>
              </w:rPr>
            </w:pPr>
          </w:p>
        </w:tc>
        <w:tc>
          <w:tcPr>
            <w:tcW w:w="2538" w:type="pct"/>
          </w:tcPr>
          <w:p w14:paraId="20F0F83C" w14:textId="5E0C400B" w:rsidR="006A2E9F" w:rsidRPr="00A840EB" w:rsidRDefault="006A2E9F" w:rsidP="003A0DDE">
            <w:pPr>
              <w:spacing w:line="300" w:lineRule="exact"/>
              <w:jc w:val="both"/>
              <w:rPr>
                <w:szCs w:val="20"/>
              </w:rPr>
            </w:pPr>
            <w:r>
              <w:t>SDS</w:t>
            </w:r>
            <w:r w:rsidRPr="00903FD3">
              <w:t>s must be less than five (5) years old and must be replaced once they are older than 5 years</w:t>
            </w:r>
          </w:p>
        </w:tc>
        <w:tc>
          <w:tcPr>
            <w:tcW w:w="1340" w:type="pct"/>
          </w:tcPr>
          <w:p w14:paraId="576FCF91" w14:textId="1701DCFC" w:rsidR="006A2E9F" w:rsidRPr="00A840EB" w:rsidRDefault="006A2E9F" w:rsidP="001157B5">
            <w:pPr>
              <w:numPr>
                <w:ilvl w:val="0"/>
                <w:numId w:val="1"/>
              </w:numPr>
              <w:tabs>
                <w:tab w:val="clear" w:pos="360"/>
                <w:tab w:val="num" w:pos="423"/>
                <w:tab w:val="center" w:pos="4153"/>
                <w:tab w:val="right" w:pos="8306"/>
              </w:tabs>
              <w:ind w:left="423"/>
              <w:rPr>
                <w:szCs w:val="20"/>
              </w:rPr>
            </w:pPr>
            <w:r>
              <w:t>SDS</w:t>
            </w:r>
            <w:r w:rsidRPr="00903FD3">
              <w:t xml:space="preserve"> Folder</w:t>
            </w:r>
          </w:p>
        </w:tc>
      </w:tr>
      <w:tr w:rsidR="00243B1E" w:rsidRPr="00565C66" w14:paraId="59BE30C9" w14:textId="77777777" w:rsidTr="000D7046">
        <w:trPr>
          <w:trHeight w:val="299"/>
        </w:trPr>
        <w:tc>
          <w:tcPr>
            <w:tcW w:w="1122" w:type="pct"/>
            <w:vMerge w:val="restart"/>
          </w:tcPr>
          <w:p w14:paraId="7763135E" w14:textId="3D87741B" w:rsidR="00243B1E" w:rsidRPr="00A840EB" w:rsidRDefault="00243B1E" w:rsidP="001157B5">
            <w:pPr>
              <w:spacing w:line="300" w:lineRule="exact"/>
              <w:rPr>
                <w:szCs w:val="20"/>
              </w:rPr>
            </w:pPr>
            <w:r w:rsidRPr="00903FD3">
              <w:t>Risk Identification and Control</w:t>
            </w:r>
          </w:p>
        </w:tc>
        <w:tc>
          <w:tcPr>
            <w:tcW w:w="2538" w:type="pct"/>
          </w:tcPr>
          <w:p w14:paraId="107E115E" w14:textId="77777777" w:rsidR="00243B1E" w:rsidRDefault="00243B1E" w:rsidP="003A0DDE">
            <w:pPr>
              <w:jc w:val="both"/>
            </w:pPr>
            <w:r>
              <w:t>Use the following guidelines to prioritise the order in which your chemicals should be assessed:</w:t>
            </w:r>
          </w:p>
          <w:p w14:paraId="4F6D09A8" w14:textId="77777777" w:rsidR="00243B1E" w:rsidRDefault="00243B1E" w:rsidP="003A0DDE">
            <w:pPr>
              <w:numPr>
                <w:ilvl w:val="0"/>
                <w:numId w:val="15"/>
              </w:numPr>
              <w:tabs>
                <w:tab w:val="clear" w:pos="720"/>
              </w:tabs>
              <w:ind w:left="367" w:hanging="211"/>
              <w:jc w:val="both"/>
            </w:pPr>
            <w:r w:rsidRPr="00903FD3">
              <w:t xml:space="preserve">the most hazardous dangerous goods and hazardous substances (as identified from the </w:t>
            </w:r>
            <w:r>
              <w:t>SDS</w:t>
            </w:r>
            <w:r w:rsidRPr="00903FD3">
              <w:t>s)</w:t>
            </w:r>
          </w:p>
          <w:p w14:paraId="251848F3" w14:textId="77777777" w:rsidR="00243B1E" w:rsidRDefault="00243B1E" w:rsidP="003A0DDE">
            <w:pPr>
              <w:numPr>
                <w:ilvl w:val="0"/>
                <w:numId w:val="15"/>
              </w:numPr>
              <w:tabs>
                <w:tab w:val="clear" w:pos="720"/>
              </w:tabs>
              <w:ind w:left="367" w:hanging="211"/>
              <w:jc w:val="both"/>
            </w:pPr>
            <w:r>
              <w:t>those used in greatest volume and most hazardous manner</w:t>
            </w:r>
          </w:p>
          <w:p w14:paraId="2EEB03F2" w14:textId="2FB360BB" w:rsidR="00243B1E" w:rsidRPr="00A840EB" w:rsidRDefault="00243B1E" w:rsidP="003A0DDE">
            <w:pPr>
              <w:numPr>
                <w:ilvl w:val="0"/>
                <w:numId w:val="15"/>
              </w:numPr>
              <w:tabs>
                <w:tab w:val="clear" w:pos="720"/>
              </w:tabs>
              <w:ind w:left="367" w:hanging="211"/>
              <w:jc w:val="both"/>
              <w:rPr>
                <w:szCs w:val="20"/>
              </w:rPr>
            </w:pPr>
            <w:r>
              <w:t>those your workers are most exposed to</w:t>
            </w:r>
          </w:p>
        </w:tc>
        <w:tc>
          <w:tcPr>
            <w:tcW w:w="1340" w:type="pct"/>
          </w:tcPr>
          <w:p w14:paraId="0F92A03B" w14:textId="77777777" w:rsidR="00243B1E" w:rsidRDefault="00243B1E" w:rsidP="001157B5">
            <w:pPr>
              <w:numPr>
                <w:ilvl w:val="0"/>
                <w:numId w:val="15"/>
              </w:numPr>
              <w:tabs>
                <w:tab w:val="num" w:pos="423"/>
              </w:tabs>
              <w:ind w:left="423"/>
            </w:pPr>
            <w:r>
              <w:t>SDS</w:t>
            </w:r>
            <w:r w:rsidRPr="00903FD3">
              <w:t xml:space="preserve"> Folder </w:t>
            </w:r>
          </w:p>
          <w:p w14:paraId="09032C11" w14:textId="0719B70D" w:rsidR="00243B1E" w:rsidRPr="00A840EB" w:rsidRDefault="00243B1E" w:rsidP="001157B5">
            <w:pPr>
              <w:numPr>
                <w:ilvl w:val="0"/>
                <w:numId w:val="1"/>
              </w:numPr>
              <w:tabs>
                <w:tab w:val="clear" w:pos="360"/>
                <w:tab w:val="num" w:pos="423"/>
                <w:tab w:val="center" w:pos="4153"/>
                <w:tab w:val="right" w:pos="8306"/>
              </w:tabs>
              <w:ind w:left="423"/>
              <w:rPr>
                <w:szCs w:val="20"/>
              </w:rPr>
            </w:pPr>
            <w:r w:rsidRPr="00903FD3">
              <w:t xml:space="preserve">Chemical </w:t>
            </w:r>
            <w:r>
              <w:t>Risk Assessment</w:t>
            </w:r>
          </w:p>
        </w:tc>
      </w:tr>
      <w:tr w:rsidR="00243B1E" w:rsidRPr="00565C66" w14:paraId="7D59E2A9" w14:textId="77777777" w:rsidTr="000D7046">
        <w:trPr>
          <w:trHeight w:val="299"/>
        </w:trPr>
        <w:tc>
          <w:tcPr>
            <w:tcW w:w="1122" w:type="pct"/>
            <w:vMerge/>
          </w:tcPr>
          <w:p w14:paraId="0AC70E7E" w14:textId="2EB3B8EC" w:rsidR="00243B1E" w:rsidRPr="00A840EB" w:rsidRDefault="00243B1E" w:rsidP="001157B5">
            <w:pPr>
              <w:spacing w:line="300" w:lineRule="exact"/>
              <w:rPr>
                <w:szCs w:val="20"/>
              </w:rPr>
            </w:pPr>
          </w:p>
        </w:tc>
        <w:tc>
          <w:tcPr>
            <w:tcW w:w="2538" w:type="pct"/>
          </w:tcPr>
          <w:p w14:paraId="1183B897" w14:textId="6F6E6DC4" w:rsidR="00243B1E" w:rsidRPr="00A840EB" w:rsidRDefault="00243B1E" w:rsidP="003A0DDE">
            <w:pPr>
              <w:spacing w:line="300" w:lineRule="exact"/>
              <w:jc w:val="both"/>
              <w:rPr>
                <w:szCs w:val="20"/>
              </w:rPr>
            </w:pPr>
            <w:r>
              <w:t>Use information from the SDS</w:t>
            </w:r>
            <w:r w:rsidRPr="00903FD3">
              <w:t xml:space="preserve"> as well as your knowledge of the type, frequency and volume of use of each chemical to established </w:t>
            </w:r>
            <w:r>
              <w:t>risk control</w:t>
            </w:r>
            <w:r w:rsidRPr="00903FD3">
              <w:t xml:space="preserve"> measures to be taken when using chemicals. </w:t>
            </w:r>
          </w:p>
        </w:tc>
        <w:tc>
          <w:tcPr>
            <w:tcW w:w="1340" w:type="pct"/>
          </w:tcPr>
          <w:p w14:paraId="054D30E8" w14:textId="7A75EB4A" w:rsidR="00243B1E" w:rsidRPr="00F3372C" w:rsidRDefault="00243B1E" w:rsidP="000D7046">
            <w:pPr>
              <w:numPr>
                <w:ilvl w:val="0"/>
                <w:numId w:val="1"/>
              </w:numPr>
              <w:tabs>
                <w:tab w:val="clear" w:pos="360"/>
                <w:tab w:val="num" w:pos="423"/>
                <w:tab w:val="center" w:pos="4153"/>
                <w:tab w:val="right" w:pos="8306"/>
              </w:tabs>
              <w:ind w:left="423"/>
              <w:rPr>
                <w:szCs w:val="20"/>
              </w:rPr>
            </w:pPr>
            <w:r w:rsidRPr="00903FD3">
              <w:t xml:space="preserve">Chemical </w:t>
            </w:r>
            <w:r>
              <w:t>Risk Assessment</w:t>
            </w:r>
          </w:p>
        </w:tc>
      </w:tr>
      <w:tr w:rsidR="001157B5" w:rsidRPr="00565C66" w14:paraId="003B5C6B" w14:textId="77777777" w:rsidTr="000D7046">
        <w:trPr>
          <w:trHeight w:val="299"/>
        </w:trPr>
        <w:tc>
          <w:tcPr>
            <w:tcW w:w="1122" w:type="pct"/>
          </w:tcPr>
          <w:p w14:paraId="0C5502D4" w14:textId="18D07616" w:rsidR="001157B5" w:rsidRPr="00A840EB" w:rsidRDefault="001157B5" w:rsidP="001157B5">
            <w:pPr>
              <w:spacing w:line="300" w:lineRule="exact"/>
              <w:rPr>
                <w:szCs w:val="20"/>
              </w:rPr>
            </w:pPr>
            <w:r w:rsidRPr="00903FD3">
              <w:lastRenderedPageBreak/>
              <w:t>Communication</w:t>
            </w:r>
          </w:p>
        </w:tc>
        <w:tc>
          <w:tcPr>
            <w:tcW w:w="2538" w:type="pct"/>
          </w:tcPr>
          <w:p w14:paraId="345A4077" w14:textId="104EFBBE" w:rsidR="001157B5" w:rsidRPr="00A840EB" w:rsidRDefault="001157B5" w:rsidP="003A0DDE">
            <w:pPr>
              <w:tabs>
                <w:tab w:val="center" w:pos="4153"/>
                <w:tab w:val="right" w:pos="8306"/>
              </w:tabs>
              <w:jc w:val="both"/>
              <w:rPr>
                <w:szCs w:val="20"/>
              </w:rPr>
            </w:pPr>
            <w:r w:rsidRPr="00903FD3">
              <w:t xml:space="preserve">Write this information for each chemical assessed on a Chemical Safe Use Sheet and </w:t>
            </w:r>
            <w:r>
              <w:t>display it</w:t>
            </w:r>
            <w:r w:rsidRPr="00903FD3">
              <w:t xml:space="preserve"> where the chemical is stored or where it is used</w:t>
            </w:r>
          </w:p>
        </w:tc>
        <w:tc>
          <w:tcPr>
            <w:tcW w:w="1340" w:type="pct"/>
          </w:tcPr>
          <w:p w14:paraId="0567F554" w14:textId="411C6205" w:rsidR="001157B5" w:rsidRPr="00A840EB" w:rsidRDefault="001157B5" w:rsidP="001157B5">
            <w:pPr>
              <w:numPr>
                <w:ilvl w:val="0"/>
                <w:numId w:val="1"/>
              </w:numPr>
              <w:tabs>
                <w:tab w:val="clear" w:pos="360"/>
                <w:tab w:val="num" w:pos="423"/>
                <w:tab w:val="center" w:pos="4153"/>
                <w:tab w:val="right" w:pos="8306"/>
              </w:tabs>
              <w:ind w:left="423"/>
              <w:rPr>
                <w:szCs w:val="20"/>
              </w:rPr>
            </w:pPr>
            <w:r w:rsidRPr="00903FD3">
              <w:t>Chemical Safe Use sheet</w:t>
            </w:r>
          </w:p>
        </w:tc>
      </w:tr>
      <w:tr w:rsidR="001157B5" w:rsidRPr="00565C66" w14:paraId="795135AD" w14:textId="77777777" w:rsidTr="000D7046">
        <w:trPr>
          <w:trHeight w:val="299"/>
        </w:trPr>
        <w:tc>
          <w:tcPr>
            <w:tcW w:w="1122" w:type="pct"/>
          </w:tcPr>
          <w:p w14:paraId="396CEB1A" w14:textId="78E923EB" w:rsidR="001157B5" w:rsidRPr="00A840EB" w:rsidRDefault="001157B5" w:rsidP="001157B5">
            <w:pPr>
              <w:spacing w:line="300" w:lineRule="exact"/>
              <w:rPr>
                <w:szCs w:val="20"/>
              </w:rPr>
            </w:pPr>
            <w:r w:rsidRPr="00903FD3">
              <w:t>Risk Control Implementation</w:t>
            </w:r>
          </w:p>
        </w:tc>
        <w:tc>
          <w:tcPr>
            <w:tcW w:w="2538" w:type="pct"/>
          </w:tcPr>
          <w:p w14:paraId="228424CE" w14:textId="2313E0DD" w:rsidR="001157B5" w:rsidRPr="00A840EB" w:rsidRDefault="001157B5" w:rsidP="003A0DDE">
            <w:pPr>
              <w:tabs>
                <w:tab w:val="center" w:pos="4153"/>
                <w:tab w:val="right" w:pos="8306"/>
              </w:tabs>
              <w:jc w:val="both"/>
              <w:rPr>
                <w:szCs w:val="20"/>
              </w:rPr>
            </w:pPr>
            <w:r w:rsidRPr="00903FD3">
              <w:t>Provide the required Personal Protective Equipment (PPE), ventilation, spill controls, first aid, storage and any other requirements for the safe storage, handling and use of chemicals.</w:t>
            </w:r>
          </w:p>
        </w:tc>
        <w:tc>
          <w:tcPr>
            <w:tcW w:w="1340" w:type="pct"/>
          </w:tcPr>
          <w:p w14:paraId="4284BCF1" w14:textId="4CA646BE" w:rsidR="001157B5" w:rsidRPr="00A840EB" w:rsidRDefault="001157B5" w:rsidP="001157B5">
            <w:pPr>
              <w:numPr>
                <w:ilvl w:val="0"/>
                <w:numId w:val="1"/>
              </w:numPr>
              <w:tabs>
                <w:tab w:val="clear" w:pos="360"/>
                <w:tab w:val="num" w:pos="423"/>
                <w:tab w:val="center" w:pos="4153"/>
                <w:tab w:val="right" w:pos="8306"/>
              </w:tabs>
              <w:ind w:left="423"/>
              <w:rPr>
                <w:szCs w:val="20"/>
              </w:rPr>
            </w:pPr>
            <w:r w:rsidRPr="00903FD3">
              <w:t>Visual check</w:t>
            </w:r>
          </w:p>
        </w:tc>
      </w:tr>
      <w:tr w:rsidR="00243B1E" w:rsidRPr="00565C66" w14:paraId="10D8FBC4" w14:textId="77777777" w:rsidTr="000D7046">
        <w:trPr>
          <w:trHeight w:val="299"/>
        </w:trPr>
        <w:tc>
          <w:tcPr>
            <w:tcW w:w="1122" w:type="pct"/>
            <w:vMerge w:val="restart"/>
          </w:tcPr>
          <w:p w14:paraId="33D3F338" w14:textId="6F3F3FA7" w:rsidR="00243B1E" w:rsidRPr="00903FD3" w:rsidRDefault="00243B1E" w:rsidP="001157B5">
            <w:pPr>
              <w:spacing w:line="300" w:lineRule="exact"/>
            </w:pPr>
            <w:r w:rsidRPr="00DC156F">
              <w:t>Treatment for injuries</w:t>
            </w:r>
          </w:p>
        </w:tc>
        <w:tc>
          <w:tcPr>
            <w:tcW w:w="2538" w:type="pct"/>
          </w:tcPr>
          <w:p w14:paraId="65266869" w14:textId="6879E55F" w:rsidR="00243B1E" w:rsidRPr="00903FD3" w:rsidRDefault="00243B1E" w:rsidP="003A0DDE">
            <w:pPr>
              <w:tabs>
                <w:tab w:val="center" w:pos="4153"/>
                <w:tab w:val="right" w:pos="8306"/>
              </w:tabs>
              <w:jc w:val="both"/>
            </w:pPr>
            <w:r>
              <w:t>Provide immediate first aid as recommended on the SDS</w:t>
            </w:r>
          </w:p>
        </w:tc>
        <w:tc>
          <w:tcPr>
            <w:tcW w:w="1340" w:type="pct"/>
          </w:tcPr>
          <w:p w14:paraId="0D805F69" w14:textId="27616985" w:rsidR="00243B1E" w:rsidRPr="00903FD3" w:rsidRDefault="00243B1E" w:rsidP="001157B5">
            <w:pPr>
              <w:numPr>
                <w:ilvl w:val="0"/>
                <w:numId w:val="1"/>
              </w:numPr>
              <w:tabs>
                <w:tab w:val="clear" w:pos="360"/>
                <w:tab w:val="num" w:pos="423"/>
                <w:tab w:val="center" w:pos="4153"/>
                <w:tab w:val="right" w:pos="8306"/>
              </w:tabs>
              <w:ind w:left="423"/>
            </w:pPr>
            <w:r>
              <w:t>SDS</w:t>
            </w:r>
          </w:p>
        </w:tc>
      </w:tr>
      <w:tr w:rsidR="00243B1E" w:rsidRPr="00565C66" w14:paraId="684E4B05" w14:textId="77777777" w:rsidTr="000D7046">
        <w:trPr>
          <w:trHeight w:val="299"/>
        </w:trPr>
        <w:tc>
          <w:tcPr>
            <w:tcW w:w="1122" w:type="pct"/>
            <w:vMerge/>
          </w:tcPr>
          <w:p w14:paraId="41346570" w14:textId="77777777" w:rsidR="00243B1E" w:rsidRPr="00DC156F" w:rsidRDefault="00243B1E" w:rsidP="001157B5">
            <w:pPr>
              <w:spacing w:line="300" w:lineRule="exact"/>
            </w:pPr>
          </w:p>
        </w:tc>
        <w:tc>
          <w:tcPr>
            <w:tcW w:w="2538" w:type="pct"/>
          </w:tcPr>
          <w:p w14:paraId="122448AB" w14:textId="1EA0E446" w:rsidR="00243B1E" w:rsidRDefault="00243B1E" w:rsidP="003A0DDE">
            <w:pPr>
              <w:tabs>
                <w:tab w:val="center" w:pos="4153"/>
                <w:tab w:val="right" w:pos="8306"/>
              </w:tabs>
              <w:jc w:val="both"/>
            </w:pPr>
            <w:r>
              <w:t>Take injured worker (AND THE SDS)  to the nearest Emergency Medical Centre if required</w:t>
            </w:r>
          </w:p>
        </w:tc>
        <w:tc>
          <w:tcPr>
            <w:tcW w:w="1340" w:type="pct"/>
          </w:tcPr>
          <w:p w14:paraId="15047D79" w14:textId="1D6202A9" w:rsidR="00243B1E" w:rsidRDefault="00243B1E" w:rsidP="001157B5">
            <w:pPr>
              <w:numPr>
                <w:ilvl w:val="0"/>
                <w:numId w:val="1"/>
              </w:numPr>
              <w:tabs>
                <w:tab w:val="clear" w:pos="360"/>
                <w:tab w:val="num" w:pos="423"/>
                <w:tab w:val="center" w:pos="4153"/>
                <w:tab w:val="right" w:pos="8306"/>
              </w:tabs>
              <w:ind w:left="423"/>
            </w:pPr>
            <w:r>
              <w:t>Chemical Safe Use Sheet</w:t>
            </w:r>
          </w:p>
        </w:tc>
      </w:tr>
      <w:tr w:rsidR="00243B1E" w:rsidRPr="00565C66" w14:paraId="52A7E8BE" w14:textId="77777777" w:rsidTr="000D7046">
        <w:trPr>
          <w:trHeight w:val="299"/>
        </w:trPr>
        <w:tc>
          <w:tcPr>
            <w:tcW w:w="1122" w:type="pct"/>
            <w:vMerge w:val="restart"/>
          </w:tcPr>
          <w:p w14:paraId="177A6B09" w14:textId="0E98AC66" w:rsidR="00243B1E" w:rsidRPr="00DC156F" w:rsidRDefault="00243B1E" w:rsidP="001157B5">
            <w:pPr>
              <w:spacing w:line="300" w:lineRule="exact"/>
            </w:pPr>
            <w:r>
              <w:t>Chemical spills</w:t>
            </w:r>
          </w:p>
        </w:tc>
        <w:tc>
          <w:tcPr>
            <w:tcW w:w="2538" w:type="pct"/>
          </w:tcPr>
          <w:p w14:paraId="4E690898" w14:textId="121A83B3" w:rsidR="00243B1E" w:rsidRDefault="00243B1E" w:rsidP="003A0DDE">
            <w:pPr>
              <w:tabs>
                <w:tab w:val="center" w:pos="4153"/>
                <w:tab w:val="right" w:pos="8306"/>
              </w:tabs>
              <w:jc w:val="both"/>
            </w:pPr>
            <w:r>
              <w:t>Limit spill of chemical and clean up as recommended on the SDS</w:t>
            </w:r>
          </w:p>
        </w:tc>
        <w:tc>
          <w:tcPr>
            <w:tcW w:w="1340" w:type="pct"/>
          </w:tcPr>
          <w:p w14:paraId="2E7B7E45" w14:textId="1E3B17D0" w:rsidR="00243B1E" w:rsidRDefault="00243B1E" w:rsidP="001157B5">
            <w:pPr>
              <w:numPr>
                <w:ilvl w:val="0"/>
                <w:numId w:val="1"/>
              </w:numPr>
              <w:tabs>
                <w:tab w:val="clear" w:pos="360"/>
                <w:tab w:val="num" w:pos="423"/>
                <w:tab w:val="center" w:pos="4153"/>
                <w:tab w:val="right" w:pos="8306"/>
              </w:tabs>
              <w:ind w:left="423"/>
            </w:pPr>
            <w:r>
              <w:t>SDS</w:t>
            </w:r>
          </w:p>
        </w:tc>
      </w:tr>
      <w:tr w:rsidR="00243B1E" w:rsidRPr="00565C66" w14:paraId="722E0E43" w14:textId="77777777" w:rsidTr="005E4381">
        <w:trPr>
          <w:trHeight w:val="593"/>
        </w:trPr>
        <w:tc>
          <w:tcPr>
            <w:tcW w:w="1122" w:type="pct"/>
            <w:vMerge/>
          </w:tcPr>
          <w:p w14:paraId="28565BFA" w14:textId="77777777" w:rsidR="00243B1E" w:rsidRDefault="00243B1E" w:rsidP="001157B5">
            <w:pPr>
              <w:spacing w:line="300" w:lineRule="exact"/>
            </w:pPr>
          </w:p>
        </w:tc>
        <w:tc>
          <w:tcPr>
            <w:tcW w:w="2538" w:type="pct"/>
          </w:tcPr>
          <w:p w14:paraId="14133B8C" w14:textId="6BE6202A" w:rsidR="00243B1E" w:rsidRDefault="00243B1E" w:rsidP="003A0DDE">
            <w:pPr>
              <w:tabs>
                <w:tab w:val="center" w:pos="4153"/>
                <w:tab w:val="right" w:pos="8306"/>
              </w:tabs>
              <w:jc w:val="both"/>
            </w:pPr>
            <w:r>
              <w:t>Seek the assistance of emergency services as required</w:t>
            </w:r>
          </w:p>
        </w:tc>
        <w:tc>
          <w:tcPr>
            <w:tcW w:w="1340" w:type="pct"/>
          </w:tcPr>
          <w:p w14:paraId="40E02667" w14:textId="766CE6F6" w:rsidR="00243B1E" w:rsidRDefault="00243B1E" w:rsidP="001157B5">
            <w:pPr>
              <w:numPr>
                <w:ilvl w:val="0"/>
                <w:numId w:val="1"/>
              </w:numPr>
              <w:tabs>
                <w:tab w:val="clear" w:pos="360"/>
                <w:tab w:val="num" w:pos="423"/>
                <w:tab w:val="center" w:pos="4153"/>
                <w:tab w:val="right" w:pos="8306"/>
              </w:tabs>
              <w:ind w:left="423"/>
            </w:pPr>
            <w:r>
              <w:t>Emergency Contact Information sheet</w:t>
            </w:r>
          </w:p>
        </w:tc>
      </w:tr>
      <w:tr w:rsidR="001157B5" w:rsidRPr="00565C66" w14:paraId="7C0F2FF8" w14:textId="77777777" w:rsidTr="000D7046">
        <w:trPr>
          <w:trHeight w:val="299"/>
        </w:trPr>
        <w:tc>
          <w:tcPr>
            <w:tcW w:w="1122" w:type="pct"/>
          </w:tcPr>
          <w:p w14:paraId="3F9D43FD" w14:textId="6DB0441D" w:rsidR="001157B5" w:rsidRDefault="001157B5" w:rsidP="001157B5">
            <w:pPr>
              <w:spacing w:line="300" w:lineRule="exact"/>
            </w:pPr>
            <w:r w:rsidRPr="00903FD3">
              <w:t>Training and Licensing</w:t>
            </w:r>
          </w:p>
        </w:tc>
        <w:tc>
          <w:tcPr>
            <w:tcW w:w="2538" w:type="pct"/>
          </w:tcPr>
          <w:p w14:paraId="0F461270" w14:textId="1E31F2AA" w:rsidR="001157B5" w:rsidRDefault="001157B5" w:rsidP="003A0DDE">
            <w:pPr>
              <w:tabs>
                <w:tab w:val="center" w:pos="4153"/>
                <w:tab w:val="right" w:pos="8306"/>
              </w:tabs>
              <w:jc w:val="both"/>
            </w:pPr>
            <w:r w:rsidRPr="00903FD3">
              <w:t>T</w:t>
            </w:r>
            <w:r w:rsidRPr="00903FD3">
              <w:rPr>
                <w:lang w:val="en-US"/>
              </w:rPr>
              <w:t xml:space="preserve">raining, instruction, information and supervision shall be provided to employees who are working with </w:t>
            </w:r>
            <w:r w:rsidRPr="00903FD3">
              <w:t>chemicals in such a way that require the use of specific personal protective equipment or safety measures eg ozone, chlorine</w:t>
            </w:r>
          </w:p>
        </w:tc>
        <w:tc>
          <w:tcPr>
            <w:tcW w:w="1340" w:type="pct"/>
          </w:tcPr>
          <w:p w14:paraId="0E3E033F" w14:textId="7D372D69" w:rsidR="001157B5" w:rsidRDefault="001157B5" w:rsidP="001157B5">
            <w:pPr>
              <w:numPr>
                <w:ilvl w:val="0"/>
                <w:numId w:val="1"/>
              </w:numPr>
              <w:tabs>
                <w:tab w:val="clear" w:pos="360"/>
                <w:tab w:val="num" w:pos="423"/>
                <w:tab w:val="center" w:pos="4153"/>
                <w:tab w:val="right" w:pos="8306"/>
              </w:tabs>
              <w:ind w:left="423"/>
            </w:pPr>
            <w:r>
              <w:t>Training - Information Session Record</w:t>
            </w:r>
          </w:p>
        </w:tc>
      </w:tr>
      <w:tr w:rsidR="001157B5" w:rsidRPr="00565C66" w14:paraId="348D1062" w14:textId="77777777" w:rsidTr="000D7046">
        <w:trPr>
          <w:trHeight w:val="299"/>
        </w:trPr>
        <w:tc>
          <w:tcPr>
            <w:tcW w:w="1122" w:type="pct"/>
          </w:tcPr>
          <w:p w14:paraId="30AD43B0" w14:textId="22BA4CA1" w:rsidR="001157B5" w:rsidRPr="00903FD3" w:rsidRDefault="001157B5" w:rsidP="001157B5">
            <w:pPr>
              <w:spacing w:line="300" w:lineRule="exact"/>
            </w:pPr>
            <w:r w:rsidRPr="00903FD3">
              <w:t>Health surveillance</w:t>
            </w:r>
          </w:p>
        </w:tc>
        <w:tc>
          <w:tcPr>
            <w:tcW w:w="2538" w:type="pct"/>
          </w:tcPr>
          <w:p w14:paraId="020A8445" w14:textId="601A8BD6" w:rsidR="001157B5" w:rsidRPr="00903FD3" w:rsidRDefault="001157B5" w:rsidP="003A0DDE">
            <w:pPr>
              <w:tabs>
                <w:tab w:val="center" w:pos="4153"/>
                <w:tab w:val="right" w:pos="8306"/>
              </w:tabs>
              <w:jc w:val="both"/>
            </w:pPr>
            <w:r w:rsidRPr="00903FD3">
              <w:rPr>
                <w:lang w:val="en-US"/>
              </w:rPr>
              <w:t>Staff will undergo medical surveillance following any incidents causing significant exposure of workers to hazardous chemicals</w:t>
            </w:r>
          </w:p>
        </w:tc>
        <w:tc>
          <w:tcPr>
            <w:tcW w:w="1340" w:type="pct"/>
          </w:tcPr>
          <w:p w14:paraId="6880E98F" w14:textId="7573784A" w:rsidR="001157B5" w:rsidRDefault="001157B5" w:rsidP="001157B5">
            <w:pPr>
              <w:numPr>
                <w:ilvl w:val="0"/>
                <w:numId w:val="1"/>
              </w:numPr>
              <w:tabs>
                <w:tab w:val="clear" w:pos="360"/>
                <w:tab w:val="num" w:pos="423"/>
                <w:tab w:val="center" w:pos="4153"/>
                <w:tab w:val="right" w:pos="8306"/>
              </w:tabs>
              <w:ind w:left="423"/>
            </w:pPr>
            <w:r w:rsidRPr="00903FD3">
              <w:t>Personal files</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F38E" w14:textId="77777777" w:rsidR="003B4611" w:rsidRDefault="003B4611" w:rsidP="007E4F87">
      <w:pPr>
        <w:spacing w:after="0" w:line="240" w:lineRule="auto"/>
      </w:pPr>
      <w:r>
        <w:separator/>
      </w:r>
    </w:p>
  </w:endnote>
  <w:endnote w:type="continuationSeparator" w:id="0">
    <w:p w14:paraId="33093073" w14:textId="77777777" w:rsidR="003B4611" w:rsidRDefault="003B4611"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BA5F" w14:textId="77777777" w:rsidR="003B4611" w:rsidRDefault="003B4611" w:rsidP="007E4F87">
      <w:pPr>
        <w:spacing w:after="0" w:line="240" w:lineRule="auto"/>
      </w:pPr>
      <w:r>
        <w:separator/>
      </w:r>
    </w:p>
  </w:footnote>
  <w:footnote w:type="continuationSeparator" w:id="0">
    <w:p w14:paraId="174C160E" w14:textId="77777777" w:rsidR="003B4611" w:rsidRDefault="003B4611"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683AB4C7" w:rsidR="001913C6" w:rsidRDefault="001913C6" w:rsidP="00421E9F">
          <w:pPr>
            <w:pStyle w:val="Header"/>
          </w:pPr>
          <w:r>
            <w:rPr>
              <w:color w:val="093C61"/>
              <w:sz w:val="16"/>
              <w:szCs w:val="16"/>
            </w:rPr>
            <w:t xml:space="preserve">Date: </w:t>
          </w:r>
          <w:r w:rsidR="009F19AE">
            <w:rPr>
              <w:color w:val="093C61"/>
              <w:sz w:val="16"/>
              <w:szCs w:val="16"/>
            </w:rPr>
            <w:t xml:space="preserve">August </w:t>
          </w:r>
          <w:r w:rsidRPr="00D237FE">
            <w:rPr>
              <w:color w:val="093C61"/>
              <w:sz w:val="16"/>
              <w:szCs w:val="16"/>
            </w:rPr>
            <w:t>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F222F9"/>
    <w:multiLevelType w:val="hybridMultilevel"/>
    <w:tmpl w:val="97344330"/>
    <w:lvl w:ilvl="0" w:tplc="E9C258B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8"/>
  </w:num>
  <w:num w:numId="4">
    <w:abstractNumId w:val="11"/>
  </w:num>
  <w:num w:numId="5">
    <w:abstractNumId w:val="7"/>
  </w:num>
  <w:num w:numId="6">
    <w:abstractNumId w:val="9"/>
  </w:num>
  <w:num w:numId="7">
    <w:abstractNumId w:val="2"/>
  </w:num>
  <w:num w:numId="8">
    <w:abstractNumId w:val="5"/>
  </w:num>
  <w:num w:numId="9">
    <w:abstractNumId w:val="10"/>
  </w:num>
  <w:num w:numId="10">
    <w:abstractNumId w:val="0"/>
  </w:num>
  <w:num w:numId="11">
    <w:abstractNumId w:val="1"/>
  </w:num>
  <w:num w:numId="12">
    <w:abstractNumId w:val="6"/>
  </w:num>
  <w:num w:numId="13">
    <w:abstractNumId w:val="6"/>
  </w:num>
  <w:num w:numId="14">
    <w:abstractNumId w:val="6"/>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254EC"/>
    <w:rsid w:val="00027ED7"/>
    <w:rsid w:val="00030D23"/>
    <w:rsid w:val="000346A2"/>
    <w:rsid w:val="00041FB1"/>
    <w:rsid w:val="000442D7"/>
    <w:rsid w:val="00050753"/>
    <w:rsid w:val="00060872"/>
    <w:rsid w:val="00067122"/>
    <w:rsid w:val="00073ECD"/>
    <w:rsid w:val="000A7D66"/>
    <w:rsid w:val="000B2D64"/>
    <w:rsid w:val="000B7F6E"/>
    <w:rsid w:val="000D0B80"/>
    <w:rsid w:val="000D3FCF"/>
    <w:rsid w:val="000D7046"/>
    <w:rsid w:val="000F0EA2"/>
    <w:rsid w:val="000F1647"/>
    <w:rsid w:val="001034EA"/>
    <w:rsid w:val="001157B5"/>
    <w:rsid w:val="00140648"/>
    <w:rsid w:val="00143AC6"/>
    <w:rsid w:val="001624D5"/>
    <w:rsid w:val="00184F01"/>
    <w:rsid w:val="00186C70"/>
    <w:rsid w:val="001913C6"/>
    <w:rsid w:val="00192C76"/>
    <w:rsid w:val="001935E7"/>
    <w:rsid w:val="001938A7"/>
    <w:rsid w:val="00197943"/>
    <w:rsid w:val="001C2A57"/>
    <w:rsid w:val="001C364E"/>
    <w:rsid w:val="001C6FE8"/>
    <w:rsid w:val="00201598"/>
    <w:rsid w:val="002035CB"/>
    <w:rsid w:val="00210734"/>
    <w:rsid w:val="002122D9"/>
    <w:rsid w:val="002206C7"/>
    <w:rsid w:val="00232513"/>
    <w:rsid w:val="00232ED0"/>
    <w:rsid w:val="00237BF6"/>
    <w:rsid w:val="00243B1E"/>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44F54"/>
    <w:rsid w:val="003609F4"/>
    <w:rsid w:val="0036398A"/>
    <w:rsid w:val="00377A15"/>
    <w:rsid w:val="0038224B"/>
    <w:rsid w:val="003A0DDE"/>
    <w:rsid w:val="003B4611"/>
    <w:rsid w:val="003B4E9A"/>
    <w:rsid w:val="003C5997"/>
    <w:rsid w:val="003E43EF"/>
    <w:rsid w:val="003F1926"/>
    <w:rsid w:val="003F2BAB"/>
    <w:rsid w:val="003F5BCB"/>
    <w:rsid w:val="00421E9F"/>
    <w:rsid w:val="004319CE"/>
    <w:rsid w:val="004428B9"/>
    <w:rsid w:val="004635B1"/>
    <w:rsid w:val="00472381"/>
    <w:rsid w:val="00476AA0"/>
    <w:rsid w:val="00477011"/>
    <w:rsid w:val="004A34AF"/>
    <w:rsid w:val="004A3769"/>
    <w:rsid w:val="004B2BAE"/>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E4381"/>
    <w:rsid w:val="005E567B"/>
    <w:rsid w:val="005E7E82"/>
    <w:rsid w:val="005F4125"/>
    <w:rsid w:val="00604037"/>
    <w:rsid w:val="00607865"/>
    <w:rsid w:val="00607B9F"/>
    <w:rsid w:val="00611E5F"/>
    <w:rsid w:val="00613F4F"/>
    <w:rsid w:val="00623FC4"/>
    <w:rsid w:val="006530F9"/>
    <w:rsid w:val="006618EB"/>
    <w:rsid w:val="00680B5B"/>
    <w:rsid w:val="00680DD5"/>
    <w:rsid w:val="00684491"/>
    <w:rsid w:val="00685C9F"/>
    <w:rsid w:val="006874E1"/>
    <w:rsid w:val="006A2E9F"/>
    <w:rsid w:val="006B2A8F"/>
    <w:rsid w:val="006B3978"/>
    <w:rsid w:val="006B726E"/>
    <w:rsid w:val="006E1A2C"/>
    <w:rsid w:val="006E4307"/>
    <w:rsid w:val="006E6928"/>
    <w:rsid w:val="006F14B4"/>
    <w:rsid w:val="007026B5"/>
    <w:rsid w:val="00717843"/>
    <w:rsid w:val="0072295F"/>
    <w:rsid w:val="007255C6"/>
    <w:rsid w:val="00737088"/>
    <w:rsid w:val="00746D97"/>
    <w:rsid w:val="00747DCC"/>
    <w:rsid w:val="0075009D"/>
    <w:rsid w:val="007500CE"/>
    <w:rsid w:val="0076365E"/>
    <w:rsid w:val="00773E2A"/>
    <w:rsid w:val="00773F74"/>
    <w:rsid w:val="00776EA7"/>
    <w:rsid w:val="00795EB9"/>
    <w:rsid w:val="007A15CF"/>
    <w:rsid w:val="007B108E"/>
    <w:rsid w:val="007D35C5"/>
    <w:rsid w:val="007E4F87"/>
    <w:rsid w:val="00812803"/>
    <w:rsid w:val="00816186"/>
    <w:rsid w:val="00826B22"/>
    <w:rsid w:val="00853CF5"/>
    <w:rsid w:val="008848FB"/>
    <w:rsid w:val="008949A6"/>
    <w:rsid w:val="008A63FF"/>
    <w:rsid w:val="008C21A7"/>
    <w:rsid w:val="008C67E4"/>
    <w:rsid w:val="008C7C48"/>
    <w:rsid w:val="008D424E"/>
    <w:rsid w:val="008D6B97"/>
    <w:rsid w:val="008E074B"/>
    <w:rsid w:val="008E4D06"/>
    <w:rsid w:val="008F1730"/>
    <w:rsid w:val="00902B2C"/>
    <w:rsid w:val="00907748"/>
    <w:rsid w:val="0091228D"/>
    <w:rsid w:val="009918EB"/>
    <w:rsid w:val="009938A8"/>
    <w:rsid w:val="009A1235"/>
    <w:rsid w:val="009A5F46"/>
    <w:rsid w:val="009B4CF8"/>
    <w:rsid w:val="009C0D9A"/>
    <w:rsid w:val="009C42E4"/>
    <w:rsid w:val="009D3149"/>
    <w:rsid w:val="009D64C0"/>
    <w:rsid w:val="009E5199"/>
    <w:rsid w:val="009F19AE"/>
    <w:rsid w:val="00A06A15"/>
    <w:rsid w:val="00A11FA2"/>
    <w:rsid w:val="00A12765"/>
    <w:rsid w:val="00A25FA7"/>
    <w:rsid w:val="00A275B5"/>
    <w:rsid w:val="00A63D44"/>
    <w:rsid w:val="00A840EB"/>
    <w:rsid w:val="00A858AA"/>
    <w:rsid w:val="00A91399"/>
    <w:rsid w:val="00AB66C4"/>
    <w:rsid w:val="00AD4048"/>
    <w:rsid w:val="00AE0B0E"/>
    <w:rsid w:val="00AE23B3"/>
    <w:rsid w:val="00AE310E"/>
    <w:rsid w:val="00B03939"/>
    <w:rsid w:val="00B129DD"/>
    <w:rsid w:val="00B21AD6"/>
    <w:rsid w:val="00B24684"/>
    <w:rsid w:val="00B2784B"/>
    <w:rsid w:val="00B40E60"/>
    <w:rsid w:val="00B548E2"/>
    <w:rsid w:val="00B57E6E"/>
    <w:rsid w:val="00B636BE"/>
    <w:rsid w:val="00B67065"/>
    <w:rsid w:val="00B8272A"/>
    <w:rsid w:val="00BA4E0F"/>
    <w:rsid w:val="00BA5ABA"/>
    <w:rsid w:val="00BB545E"/>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D237FE"/>
    <w:rsid w:val="00D353F3"/>
    <w:rsid w:val="00D36310"/>
    <w:rsid w:val="00D64C1E"/>
    <w:rsid w:val="00D80A5C"/>
    <w:rsid w:val="00D826C4"/>
    <w:rsid w:val="00D8569E"/>
    <w:rsid w:val="00DB1AFF"/>
    <w:rsid w:val="00DB6F92"/>
    <w:rsid w:val="00DC0A34"/>
    <w:rsid w:val="00DC2245"/>
    <w:rsid w:val="00DC4BAB"/>
    <w:rsid w:val="00DD0132"/>
    <w:rsid w:val="00DD7EBC"/>
    <w:rsid w:val="00DF4E68"/>
    <w:rsid w:val="00DF66F8"/>
    <w:rsid w:val="00E0153D"/>
    <w:rsid w:val="00E1791E"/>
    <w:rsid w:val="00E23CF9"/>
    <w:rsid w:val="00E448D4"/>
    <w:rsid w:val="00E66226"/>
    <w:rsid w:val="00E835C6"/>
    <w:rsid w:val="00E92F62"/>
    <w:rsid w:val="00E954C5"/>
    <w:rsid w:val="00EB2847"/>
    <w:rsid w:val="00EB4AAF"/>
    <w:rsid w:val="00EC4F99"/>
    <w:rsid w:val="00ED3F5B"/>
    <w:rsid w:val="00F005D9"/>
    <w:rsid w:val="00F26FDA"/>
    <w:rsid w:val="00F308DA"/>
    <w:rsid w:val="00F3372C"/>
    <w:rsid w:val="00F34CE2"/>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tabs>
        <w:tab w:val="clear" w:pos="113"/>
        <w:tab w:val="num" w:pos="864"/>
      </w:tabs>
      <w:spacing w:before="240" w:after="60" w:line="240" w:lineRule="auto"/>
      <w:ind w:hanging="864"/>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109</cp:revision>
  <cp:lastPrinted>2023-10-12T05:14:00Z</cp:lastPrinted>
  <dcterms:created xsi:type="dcterms:W3CDTF">2023-10-19T19:13:00Z</dcterms:created>
  <dcterms:modified xsi:type="dcterms:W3CDTF">2024-02-16T14:50:00Z</dcterms:modified>
</cp:coreProperties>
</file>