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5D75E3C2" w14:textId="070D2C70" w:rsidR="009E5199" w:rsidRDefault="00EC7E39" w:rsidP="002C7007">
      <w:pPr>
        <w:pStyle w:val="NoSpacing"/>
        <w:jc w:val="center"/>
        <w:rPr>
          <w:rFonts w:ascii="Montserrat" w:hAnsi="Montserrat"/>
          <w:b/>
          <w:bCs/>
          <w:color w:val="093C61"/>
          <w:sz w:val="80"/>
          <w:szCs w:val="80"/>
        </w:rPr>
      </w:pPr>
      <w:r w:rsidRPr="00EC7E39">
        <w:rPr>
          <w:rFonts w:ascii="Montserrat" w:hAnsi="Montserrat"/>
          <w:b/>
          <w:bCs/>
          <w:color w:val="093C61"/>
          <w:sz w:val="80"/>
          <w:szCs w:val="80"/>
        </w:rPr>
        <w:t>Safety Equipment 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490B9E13" w14:textId="5BBAA4C5" w:rsidR="00774279"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8290" w:history="1">
        <w:r w:rsidR="00774279" w:rsidRPr="000A4BF5">
          <w:rPr>
            <w:rStyle w:val="Hyperlink"/>
            <w:noProof/>
          </w:rPr>
          <w:t>Safety Equipment Procedure</w:t>
        </w:r>
        <w:r w:rsidR="00774279">
          <w:rPr>
            <w:noProof/>
            <w:webHidden/>
          </w:rPr>
          <w:tab/>
        </w:r>
        <w:r w:rsidR="00774279">
          <w:rPr>
            <w:noProof/>
            <w:webHidden/>
          </w:rPr>
          <w:fldChar w:fldCharType="begin"/>
        </w:r>
        <w:r w:rsidR="00774279">
          <w:rPr>
            <w:noProof/>
            <w:webHidden/>
          </w:rPr>
          <w:instrText xml:space="preserve"> PAGEREF _Toc159008290 \h </w:instrText>
        </w:r>
        <w:r w:rsidR="00774279">
          <w:rPr>
            <w:noProof/>
            <w:webHidden/>
          </w:rPr>
        </w:r>
        <w:r w:rsidR="00774279">
          <w:rPr>
            <w:noProof/>
            <w:webHidden/>
          </w:rPr>
          <w:fldChar w:fldCharType="separate"/>
        </w:r>
        <w:r w:rsidR="00774279">
          <w:rPr>
            <w:noProof/>
            <w:webHidden/>
          </w:rPr>
          <w:t>1</w:t>
        </w:r>
        <w:r w:rsidR="00774279">
          <w:rPr>
            <w:noProof/>
            <w:webHidden/>
          </w:rPr>
          <w:fldChar w:fldCharType="end"/>
        </w:r>
      </w:hyperlink>
    </w:p>
    <w:p w14:paraId="5DBC1837" w14:textId="6421AE06" w:rsidR="00774279" w:rsidRDefault="00774279">
      <w:pPr>
        <w:pStyle w:val="TOC2"/>
        <w:rPr>
          <w:rFonts w:asciiTheme="minorHAnsi" w:hAnsiTheme="minorHAnsi"/>
          <w:noProof/>
          <w:lang w:val="en-US" w:eastAsia="en-US"/>
        </w:rPr>
      </w:pPr>
      <w:hyperlink w:anchor="_Toc159008291" w:history="1">
        <w:r w:rsidRPr="000A4BF5">
          <w:rPr>
            <w:rStyle w:val="Hyperlink"/>
            <w:noProof/>
          </w:rPr>
          <w:t>Purpose:</w:t>
        </w:r>
        <w:r>
          <w:rPr>
            <w:noProof/>
            <w:webHidden/>
          </w:rPr>
          <w:tab/>
        </w:r>
        <w:r>
          <w:rPr>
            <w:noProof/>
            <w:webHidden/>
          </w:rPr>
          <w:fldChar w:fldCharType="begin"/>
        </w:r>
        <w:r>
          <w:rPr>
            <w:noProof/>
            <w:webHidden/>
          </w:rPr>
          <w:instrText xml:space="preserve"> PAGEREF _Toc159008291 \h </w:instrText>
        </w:r>
        <w:r>
          <w:rPr>
            <w:noProof/>
            <w:webHidden/>
          </w:rPr>
        </w:r>
        <w:r>
          <w:rPr>
            <w:noProof/>
            <w:webHidden/>
          </w:rPr>
          <w:fldChar w:fldCharType="separate"/>
        </w:r>
        <w:r>
          <w:rPr>
            <w:noProof/>
            <w:webHidden/>
          </w:rPr>
          <w:t>1</w:t>
        </w:r>
        <w:r>
          <w:rPr>
            <w:noProof/>
            <w:webHidden/>
          </w:rPr>
          <w:fldChar w:fldCharType="end"/>
        </w:r>
      </w:hyperlink>
    </w:p>
    <w:p w14:paraId="13F9E39B" w14:textId="0D4CBED8" w:rsidR="00774279" w:rsidRDefault="00774279">
      <w:pPr>
        <w:pStyle w:val="TOC2"/>
        <w:rPr>
          <w:rFonts w:asciiTheme="minorHAnsi" w:hAnsiTheme="minorHAnsi"/>
          <w:noProof/>
          <w:lang w:val="en-US" w:eastAsia="en-US"/>
        </w:rPr>
      </w:pPr>
      <w:hyperlink w:anchor="_Toc159008292" w:history="1">
        <w:r w:rsidRPr="000A4BF5">
          <w:rPr>
            <w:rStyle w:val="Hyperlink"/>
            <w:noProof/>
          </w:rPr>
          <w:t>Scope:</w:t>
        </w:r>
        <w:r>
          <w:rPr>
            <w:noProof/>
            <w:webHidden/>
          </w:rPr>
          <w:tab/>
        </w:r>
        <w:r>
          <w:rPr>
            <w:noProof/>
            <w:webHidden/>
          </w:rPr>
          <w:fldChar w:fldCharType="begin"/>
        </w:r>
        <w:r>
          <w:rPr>
            <w:noProof/>
            <w:webHidden/>
          </w:rPr>
          <w:instrText xml:space="preserve"> PAGEREF _Toc159008292 \h </w:instrText>
        </w:r>
        <w:r>
          <w:rPr>
            <w:noProof/>
            <w:webHidden/>
          </w:rPr>
        </w:r>
        <w:r>
          <w:rPr>
            <w:noProof/>
            <w:webHidden/>
          </w:rPr>
          <w:fldChar w:fldCharType="separate"/>
        </w:r>
        <w:r>
          <w:rPr>
            <w:noProof/>
            <w:webHidden/>
          </w:rPr>
          <w:t>1</w:t>
        </w:r>
        <w:r>
          <w:rPr>
            <w:noProof/>
            <w:webHidden/>
          </w:rPr>
          <w:fldChar w:fldCharType="end"/>
        </w:r>
      </w:hyperlink>
    </w:p>
    <w:p w14:paraId="749D5AD1" w14:textId="04C99341" w:rsidR="00774279" w:rsidRDefault="00774279">
      <w:pPr>
        <w:pStyle w:val="TOC2"/>
        <w:rPr>
          <w:rFonts w:asciiTheme="minorHAnsi" w:hAnsiTheme="minorHAnsi"/>
          <w:noProof/>
          <w:lang w:val="en-US" w:eastAsia="en-US"/>
        </w:rPr>
      </w:pPr>
      <w:hyperlink w:anchor="_Toc159008293" w:history="1">
        <w:r w:rsidRPr="000A4BF5">
          <w:rPr>
            <w:rStyle w:val="Hyperlink"/>
            <w:noProof/>
          </w:rPr>
          <w:t>Definitions:</w:t>
        </w:r>
        <w:r>
          <w:rPr>
            <w:noProof/>
            <w:webHidden/>
          </w:rPr>
          <w:tab/>
        </w:r>
        <w:r>
          <w:rPr>
            <w:noProof/>
            <w:webHidden/>
          </w:rPr>
          <w:fldChar w:fldCharType="begin"/>
        </w:r>
        <w:r>
          <w:rPr>
            <w:noProof/>
            <w:webHidden/>
          </w:rPr>
          <w:instrText xml:space="preserve"> PAGEREF _Toc159008293 \h </w:instrText>
        </w:r>
        <w:r>
          <w:rPr>
            <w:noProof/>
            <w:webHidden/>
          </w:rPr>
        </w:r>
        <w:r>
          <w:rPr>
            <w:noProof/>
            <w:webHidden/>
          </w:rPr>
          <w:fldChar w:fldCharType="separate"/>
        </w:r>
        <w:r>
          <w:rPr>
            <w:noProof/>
            <w:webHidden/>
          </w:rPr>
          <w:t>1</w:t>
        </w:r>
        <w:r>
          <w:rPr>
            <w:noProof/>
            <w:webHidden/>
          </w:rPr>
          <w:fldChar w:fldCharType="end"/>
        </w:r>
      </w:hyperlink>
    </w:p>
    <w:p w14:paraId="53B1F5E4" w14:textId="4E6FB8AD" w:rsidR="00774279" w:rsidRDefault="00774279">
      <w:pPr>
        <w:pStyle w:val="TOC2"/>
        <w:rPr>
          <w:rFonts w:asciiTheme="minorHAnsi" w:hAnsiTheme="minorHAnsi"/>
          <w:noProof/>
          <w:lang w:val="en-US" w:eastAsia="en-US"/>
        </w:rPr>
      </w:pPr>
      <w:hyperlink w:anchor="_Toc159008294" w:history="1">
        <w:r w:rsidRPr="000A4BF5">
          <w:rPr>
            <w:rStyle w:val="Hyperlink"/>
            <w:noProof/>
          </w:rPr>
          <w:t>Procedure:</w:t>
        </w:r>
        <w:r>
          <w:rPr>
            <w:noProof/>
            <w:webHidden/>
          </w:rPr>
          <w:tab/>
        </w:r>
        <w:r>
          <w:rPr>
            <w:noProof/>
            <w:webHidden/>
          </w:rPr>
          <w:fldChar w:fldCharType="begin"/>
        </w:r>
        <w:r>
          <w:rPr>
            <w:noProof/>
            <w:webHidden/>
          </w:rPr>
          <w:instrText xml:space="preserve"> PAGEREF _Toc159008294 \h </w:instrText>
        </w:r>
        <w:r>
          <w:rPr>
            <w:noProof/>
            <w:webHidden/>
          </w:rPr>
        </w:r>
        <w:r>
          <w:rPr>
            <w:noProof/>
            <w:webHidden/>
          </w:rPr>
          <w:fldChar w:fldCharType="separate"/>
        </w:r>
        <w:r>
          <w:rPr>
            <w:noProof/>
            <w:webHidden/>
          </w:rPr>
          <w:t>1</w:t>
        </w:r>
        <w:r>
          <w:rPr>
            <w:noProof/>
            <w:webHidden/>
          </w:rPr>
          <w:fldChar w:fldCharType="end"/>
        </w:r>
      </w:hyperlink>
    </w:p>
    <w:p w14:paraId="6D8B48B6" w14:textId="6D33104E"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597ADC16" w14:textId="77777777" w:rsidR="00EC7E39" w:rsidRDefault="00EC7E39" w:rsidP="00EC7E39">
      <w:pPr>
        <w:pStyle w:val="Heading1"/>
      </w:pPr>
      <w:bookmarkStart w:id="1" w:name="_Toc159008290"/>
      <w:r w:rsidRPr="00EC7E39">
        <w:lastRenderedPageBreak/>
        <w:t>Safety Equipment Procedure</w:t>
      </w:r>
      <w:bookmarkEnd w:id="1"/>
    </w:p>
    <w:p w14:paraId="7172A8D6" w14:textId="77777777" w:rsidR="00EC7E39" w:rsidRDefault="00EC7E39" w:rsidP="00EC7E39">
      <w:pPr>
        <w:pStyle w:val="Heading2"/>
      </w:pPr>
      <w:bookmarkStart w:id="2" w:name="_Toc159008291"/>
      <w:r>
        <w:t>Purpose:</w:t>
      </w:r>
      <w:bookmarkEnd w:id="2"/>
    </w:p>
    <w:p w14:paraId="56C406B0" w14:textId="77777777" w:rsidR="00EC7E39" w:rsidRDefault="00EC7E39" w:rsidP="00EC7E39">
      <w:pPr>
        <w:pStyle w:val="BodyText"/>
      </w:pPr>
      <w:r>
        <w:t xml:space="preserve">To ensure the provision, maintenance and correct use of all safety and personal protective equipment. </w:t>
      </w:r>
    </w:p>
    <w:p w14:paraId="1DD807BA" w14:textId="77777777" w:rsidR="00EC7E39" w:rsidRDefault="00EC7E39" w:rsidP="00EC7E39">
      <w:pPr>
        <w:pStyle w:val="Heading2"/>
      </w:pPr>
      <w:bookmarkStart w:id="3" w:name="_Toc159008292"/>
      <w:r>
        <w:t>Scope:</w:t>
      </w:r>
      <w:bookmarkEnd w:id="3"/>
    </w:p>
    <w:p w14:paraId="03AD1D00" w14:textId="77777777" w:rsidR="00EC7E39" w:rsidRDefault="00EC7E39" w:rsidP="00EC7E39">
      <w:pPr>
        <w:pStyle w:val="BodyText"/>
      </w:pPr>
      <w:r>
        <w:t>This applies to personal protective equipment as well as all other safety equipment at the premises.</w:t>
      </w:r>
    </w:p>
    <w:p w14:paraId="270A35D4" w14:textId="77777777" w:rsidR="00EC7E39" w:rsidRDefault="00EC7E39" w:rsidP="00EC7E39">
      <w:pPr>
        <w:pStyle w:val="Heading2"/>
      </w:pPr>
      <w:bookmarkStart w:id="4" w:name="_Toc159008293"/>
      <w:r>
        <w:t>Definitions:</w:t>
      </w:r>
      <w:bookmarkEnd w:id="4"/>
    </w:p>
    <w:p w14:paraId="4DBFCEFF" w14:textId="77777777" w:rsidR="00EC7E39" w:rsidRDefault="00EC7E39" w:rsidP="00EC7E39">
      <w:pPr>
        <w:pStyle w:val="BodyText"/>
      </w:pPr>
      <w:r>
        <w:t>Personal Protective Equipment (PPE) - Specialized clothing or equipment worn by employees for protection against health and safety hazards. Personal protective equipment is designed to protect many parts of the body, i.e., eyes, head, face, hands, feet, and ears.</w:t>
      </w:r>
    </w:p>
    <w:p w14:paraId="5274E354" w14:textId="77777777" w:rsidR="00EC7E39" w:rsidRDefault="00EC7E39" w:rsidP="00EC7E39">
      <w:pPr>
        <w:pStyle w:val="BodyText"/>
      </w:pPr>
      <w:r>
        <w:t xml:space="preserve">Safety Equipment - Any equipment used to reduce risks or </w:t>
      </w:r>
      <w:proofErr w:type="spellStart"/>
      <w:r>
        <w:t>minimise</w:t>
      </w:r>
      <w:proofErr w:type="spellEnd"/>
      <w:r>
        <w:t xml:space="preserve"> the impact of risks e.g., firefighting equipment, first aid kits, safety signs.</w:t>
      </w:r>
    </w:p>
    <w:p w14:paraId="5380AFA3" w14:textId="6A8DE377" w:rsidR="00607B9F" w:rsidRDefault="00EC7E39" w:rsidP="00EC7E39">
      <w:pPr>
        <w:pStyle w:val="Heading2"/>
      </w:pPr>
      <w:bookmarkStart w:id="5" w:name="_Toc159008294"/>
      <w:r>
        <w:t>Procedure:</w:t>
      </w:r>
      <w:bookmarkEnd w:id="5"/>
      <w:r w:rsidR="00607B9F">
        <w:t xml:space="preserve">  </w:t>
      </w:r>
    </w:p>
    <w:tbl>
      <w:tblPr>
        <w:tblStyle w:val="TableGrid"/>
        <w:tblW w:w="5000" w:type="pct"/>
        <w:tblLook w:val="01E0" w:firstRow="1" w:lastRow="1" w:firstColumn="1" w:lastColumn="1" w:noHBand="0" w:noVBand="0"/>
      </w:tblPr>
      <w:tblGrid>
        <w:gridCol w:w="2097"/>
        <w:gridCol w:w="4649"/>
        <w:gridCol w:w="2270"/>
      </w:tblGrid>
      <w:tr w:rsidR="00EC7E39" w:rsidRPr="00C9519B" w14:paraId="127FF778" w14:textId="77777777" w:rsidTr="00B41E31">
        <w:trPr>
          <w:cnfStyle w:val="100000000000" w:firstRow="1" w:lastRow="0" w:firstColumn="0" w:lastColumn="0" w:oddVBand="0" w:evenVBand="0" w:oddHBand="0" w:evenHBand="0" w:firstRowFirstColumn="0" w:firstRowLastColumn="0" w:lastRowFirstColumn="0" w:lastRowLastColumn="0"/>
          <w:trHeight w:val="144"/>
          <w:tblHeader/>
        </w:trPr>
        <w:tc>
          <w:tcPr>
            <w:tcW w:w="1163" w:type="pct"/>
            <w:vAlign w:val="bottom"/>
          </w:tcPr>
          <w:p w14:paraId="149B7CCF" w14:textId="396FD035" w:rsidR="00EC7E39" w:rsidRPr="00C9519B" w:rsidRDefault="00EC7E39" w:rsidP="00EC7E39">
            <w:pPr>
              <w:jc w:val="center"/>
              <w:rPr>
                <w:b w:val="0"/>
                <w:sz w:val="24"/>
                <w:szCs w:val="24"/>
              </w:rPr>
            </w:pPr>
            <w:r w:rsidRPr="005E0724">
              <w:t>Process</w:t>
            </w:r>
          </w:p>
        </w:tc>
        <w:tc>
          <w:tcPr>
            <w:tcW w:w="2578" w:type="pct"/>
            <w:vAlign w:val="bottom"/>
          </w:tcPr>
          <w:p w14:paraId="2C0FD6A9" w14:textId="119349F0" w:rsidR="00EC7E39" w:rsidRPr="00C9519B" w:rsidRDefault="00EC7E39" w:rsidP="00EC7E39">
            <w:pPr>
              <w:jc w:val="center"/>
              <w:rPr>
                <w:b w:val="0"/>
                <w:sz w:val="24"/>
                <w:szCs w:val="24"/>
              </w:rPr>
            </w:pPr>
            <w:r w:rsidRPr="005E0724">
              <w:t>Methodology</w:t>
            </w:r>
          </w:p>
        </w:tc>
        <w:tc>
          <w:tcPr>
            <w:tcW w:w="1259" w:type="pct"/>
            <w:vAlign w:val="bottom"/>
          </w:tcPr>
          <w:p w14:paraId="76AAD37A" w14:textId="5A883701" w:rsidR="00EC7E39" w:rsidRPr="00C9519B" w:rsidRDefault="00EC7E39" w:rsidP="00EC7E39">
            <w:pPr>
              <w:jc w:val="center"/>
              <w:rPr>
                <w:b w:val="0"/>
                <w:sz w:val="24"/>
                <w:szCs w:val="24"/>
              </w:rPr>
            </w:pPr>
            <w:r w:rsidRPr="005E0724">
              <w:t>Records/Evidence</w:t>
            </w:r>
          </w:p>
        </w:tc>
      </w:tr>
      <w:tr w:rsidR="00B41E31" w:rsidRPr="00565C66" w14:paraId="39CB426A" w14:textId="77777777" w:rsidTr="00DC2245">
        <w:trPr>
          <w:trHeight w:val="299"/>
        </w:trPr>
        <w:tc>
          <w:tcPr>
            <w:tcW w:w="1163" w:type="pct"/>
            <w:vMerge w:val="restart"/>
          </w:tcPr>
          <w:p w14:paraId="52456BB8" w14:textId="044F3FDD" w:rsidR="00B41E31" w:rsidRDefault="00B41E31" w:rsidP="00EC7E39">
            <w:pPr>
              <w:spacing w:line="300" w:lineRule="exact"/>
            </w:pPr>
            <w:r w:rsidRPr="00EC7E39">
              <w:t>Identify Requirements.</w:t>
            </w:r>
          </w:p>
        </w:tc>
        <w:tc>
          <w:tcPr>
            <w:tcW w:w="2578" w:type="pct"/>
          </w:tcPr>
          <w:p w14:paraId="4C42435E" w14:textId="6F51A1A7" w:rsidR="00B41E31" w:rsidRPr="00462CB6" w:rsidRDefault="00B41E31" w:rsidP="00EC7E39">
            <w:pPr>
              <w:spacing w:line="300" w:lineRule="exact"/>
            </w:pPr>
            <w:r w:rsidRPr="00EC7E39">
              <w:t>Personal protective equipment (PPE) requirements will be identified for all tasks undertaken by employees.</w:t>
            </w:r>
          </w:p>
        </w:tc>
        <w:tc>
          <w:tcPr>
            <w:tcW w:w="1259" w:type="pct"/>
          </w:tcPr>
          <w:p w14:paraId="251F389A" w14:textId="29B36F7E" w:rsidR="00B41E31" w:rsidRPr="004B082D" w:rsidRDefault="00B41E31" w:rsidP="00EC7E39">
            <w:pPr>
              <w:numPr>
                <w:ilvl w:val="0"/>
                <w:numId w:val="1"/>
              </w:numPr>
              <w:tabs>
                <w:tab w:val="clear" w:pos="360"/>
                <w:tab w:val="num" w:pos="423"/>
                <w:tab w:val="center" w:pos="4153"/>
                <w:tab w:val="right" w:pos="8306"/>
              </w:tabs>
              <w:ind w:left="423"/>
            </w:pPr>
            <w:r w:rsidRPr="00EC7E39">
              <w:t>Work diary.</w:t>
            </w:r>
          </w:p>
        </w:tc>
      </w:tr>
      <w:tr w:rsidR="00B41E31" w:rsidRPr="00565C66" w14:paraId="63B64B30" w14:textId="77777777" w:rsidTr="00DC2245">
        <w:trPr>
          <w:trHeight w:val="299"/>
        </w:trPr>
        <w:tc>
          <w:tcPr>
            <w:tcW w:w="1163" w:type="pct"/>
            <w:vMerge/>
          </w:tcPr>
          <w:p w14:paraId="45BFA783" w14:textId="6F60838E" w:rsidR="00B41E31" w:rsidRDefault="00B41E31" w:rsidP="00EC7E39">
            <w:pPr>
              <w:spacing w:line="300" w:lineRule="exact"/>
            </w:pPr>
          </w:p>
        </w:tc>
        <w:tc>
          <w:tcPr>
            <w:tcW w:w="2578" w:type="pct"/>
          </w:tcPr>
          <w:p w14:paraId="648A1F9C" w14:textId="63C8F6EF" w:rsidR="00B41E31" w:rsidRPr="00462CB6" w:rsidRDefault="00B41E31" w:rsidP="00EC7E39">
            <w:pPr>
              <w:spacing w:line="300" w:lineRule="exact"/>
            </w:pPr>
            <w:r>
              <w:t>Safety equipment requirements will be identified for all vehicles .</w:t>
            </w:r>
          </w:p>
        </w:tc>
        <w:tc>
          <w:tcPr>
            <w:tcW w:w="1259" w:type="pct"/>
          </w:tcPr>
          <w:p w14:paraId="21EB8767" w14:textId="2FB61793" w:rsidR="00B41E31" w:rsidRPr="004B082D" w:rsidRDefault="00B41E31" w:rsidP="00EC7E39">
            <w:pPr>
              <w:numPr>
                <w:ilvl w:val="0"/>
                <w:numId w:val="1"/>
              </w:numPr>
              <w:tabs>
                <w:tab w:val="clear" w:pos="360"/>
                <w:tab w:val="num" w:pos="423"/>
                <w:tab w:val="center" w:pos="4153"/>
                <w:tab w:val="right" w:pos="8306"/>
              </w:tabs>
              <w:ind w:left="423"/>
            </w:pPr>
            <w:r>
              <w:t>Vehicle Safety Inspection Checklist.</w:t>
            </w:r>
          </w:p>
        </w:tc>
      </w:tr>
      <w:tr w:rsidR="00EC7E39" w:rsidRPr="00565C66" w14:paraId="730987D2" w14:textId="77777777" w:rsidTr="00DC2245">
        <w:trPr>
          <w:trHeight w:val="299"/>
        </w:trPr>
        <w:tc>
          <w:tcPr>
            <w:tcW w:w="1163" w:type="pct"/>
          </w:tcPr>
          <w:p w14:paraId="77B339B1" w14:textId="77777777" w:rsidR="00EC7E39" w:rsidRPr="00EC7E39" w:rsidRDefault="00EC7E39" w:rsidP="00EC7E39">
            <w:r w:rsidRPr="00EC7E39">
              <w:t>Purchasing.</w:t>
            </w:r>
          </w:p>
          <w:p w14:paraId="53625FD1" w14:textId="1DF5659F" w:rsidR="00EC7E39" w:rsidRDefault="00EC7E39" w:rsidP="00EC7E39">
            <w:pPr>
              <w:spacing w:line="300" w:lineRule="exact"/>
            </w:pPr>
          </w:p>
        </w:tc>
        <w:tc>
          <w:tcPr>
            <w:tcW w:w="2578" w:type="pct"/>
          </w:tcPr>
          <w:p w14:paraId="0002C3F9" w14:textId="31B92C98" w:rsidR="00EC7E39" w:rsidRPr="00EC7E39" w:rsidRDefault="00EC7E39" w:rsidP="00EC7E39">
            <w:pPr>
              <w:spacing w:line="300" w:lineRule="exact"/>
            </w:pPr>
            <w:r w:rsidRPr="00EC7E39">
              <w:t>PPE and safety equipment must conform to Australian Standards.</w:t>
            </w:r>
          </w:p>
        </w:tc>
        <w:tc>
          <w:tcPr>
            <w:tcW w:w="1259" w:type="pct"/>
          </w:tcPr>
          <w:p w14:paraId="0524E248" w14:textId="27F08F46" w:rsidR="00EC7E39" w:rsidRPr="00EC7E39" w:rsidRDefault="00EC7E39" w:rsidP="00EC7E39">
            <w:pPr>
              <w:numPr>
                <w:ilvl w:val="0"/>
                <w:numId w:val="1"/>
              </w:numPr>
              <w:tabs>
                <w:tab w:val="clear" w:pos="360"/>
                <w:tab w:val="num" w:pos="423"/>
                <w:tab w:val="center" w:pos="4153"/>
                <w:tab w:val="right" w:pos="8306"/>
              </w:tabs>
              <w:ind w:left="423"/>
            </w:pPr>
            <w:r w:rsidRPr="00EC7E39">
              <w:t>PPE labelling.</w:t>
            </w:r>
          </w:p>
        </w:tc>
      </w:tr>
      <w:tr w:rsidR="00B41E31" w:rsidRPr="00565C66" w14:paraId="777AC93C" w14:textId="77777777" w:rsidTr="00DC2245">
        <w:trPr>
          <w:trHeight w:val="299"/>
        </w:trPr>
        <w:tc>
          <w:tcPr>
            <w:tcW w:w="1163" w:type="pct"/>
            <w:vMerge w:val="restart"/>
          </w:tcPr>
          <w:p w14:paraId="52B531EB" w14:textId="77777777" w:rsidR="00B41E31" w:rsidRPr="00EC7E39" w:rsidRDefault="00B41E31" w:rsidP="00EC7E39">
            <w:r w:rsidRPr="00EC7E39">
              <w:t>Issue and Replacement.</w:t>
            </w:r>
          </w:p>
          <w:p w14:paraId="36100DDF" w14:textId="77777777" w:rsidR="00B41E31" w:rsidRPr="00EC7E39" w:rsidRDefault="00B41E31" w:rsidP="00EC7E39">
            <w:pPr>
              <w:spacing w:line="300" w:lineRule="exact"/>
            </w:pPr>
          </w:p>
        </w:tc>
        <w:tc>
          <w:tcPr>
            <w:tcW w:w="2578" w:type="pct"/>
          </w:tcPr>
          <w:p w14:paraId="20F0F83C" w14:textId="0C48D4C6" w:rsidR="00B41E31" w:rsidRPr="00EC7E39" w:rsidRDefault="00B41E31" w:rsidP="00EC7E39">
            <w:pPr>
              <w:spacing w:line="300" w:lineRule="exact"/>
            </w:pPr>
            <w:r w:rsidRPr="00EC7E39">
              <w:t>All employees will be issued with PPE before they are to commence any tasks. requiring PPE.</w:t>
            </w:r>
          </w:p>
        </w:tc>
        <w:tc>
          <w:tcPr>
            <w:tcW w:w="1259" w:type="pct"/>
          </w:tcPr>
          <w:p w14:paraId="576FCF91" w14:textId="61175F95" w:rsidR="00B41E31" w:rsidRPr="00EC7E39" w:rsidRDefault="00B41E31" w:rsidP="00EC7E39">
            <w:pPr>
              <w:numPr>
                <w:ilvl w:val="0"/>
                <w:numId w:val="1"/>
              </w:numPr>
              <w:tabs>
                <w:tab w:val="clear" w:pos="360"/>
                <w:tab w:val="num" w:pos="423"/>
                <w:tab w:val="center" w:pos="4153"/>
                <w:tab w:val="right" w:pos="8306"/>
              </w:tabs>
              <w:ind w:left="423"/>
            </w:pPr>
            <w:r w:rsidRPr="00EC7E39">
              <w:t>Visual check.</w:t>
            </w:r>
          </w:p>
        </w:tc>
      </w:tr>
      <w:tr w:rsidR="00B41E31" w:rsidRPr="00565C66" w14:paraId="59BE30C9" w14:textId="77777777" w:rsidTr="00DC2245">
        <w:trPr>
          <w:trHeight w:val="299"/>
        </w:trPr>
        <w:tc>
          <w:tcPr>
            <w:tcW w:w="1163" w:type="pct"/>
            <w:vMerge/>
          </w:tcPr>
          <w:p w14:paraId="7763135E" w14:textId="77777777" w:rsidR="00B41E31" w:rsidRPr="00EC7E39" w:rsidRDefault="00B41E31" w:rsidP="00EC7E39">
            <w:pPr>
              <w:spacing w:line="300" w:lineRule="exact"/>
            </w:pPr>
          </w:p>
        </w:tc>
        <w:tc>
          <w:tcPr>
            <w:tcW w:w="2578" w:type="pct"/>
          </w:tcPr>
          <w:p w14:paraId="2EEB03F2" w14:textId="58BAC50C" w:rsidR="00B41E31" w:rsidRPr="00EC7E39" w:rsidRDefault="00B41E31" w:rsidP="00EC7E39">
            <w:pPr>
              <w:spacing w:line="300" w:lineRule="exact"/>
            </w:pPr>
            <w:r w:rsidRPr="00EC7E39">
              <w:t>All employees are required to wear PPE as appropriate to their work tasks.</w:t>
            </w:r>
          </w:p>
        </w:tc>
        <w:tc>
          <w:tcPr>
            <w:tcW w:w="1259" w:type="pct"/>
          </w:tcPr>
          <w:p w14:paraId="09032C11" w14:textId="1026491C" w:rsidR="00B41E31" w:rsidRPr="00EC7E39" w:rsidRDefault="00B41E31" w:rsidP="00EC7E39">
            <w:pPr>
              <w:numPr>
                <w:ilvl w:val="0"/>
                <w:numId w:val="1"/>
              </w:numPr>
              <w:tabs>
                <w:tab w:val="clear" w:pos="360"/>
                <w:tab w:val="num" w:pos="423"/>
                <w:tab w:val="center" w:pos="4153"/>
                <w:tab w:val="right" w:pos="8306"/>
              </w:tabs>
              <w:ind w:left="423"/>
            </w:pPr>
            <w:r w:rsidRPr="00EC7E39">
              <w:t>Visual check.</w:t>
            </w:r>
          </w:p>
        </w:tc>
      </w:tr>
      <w:tr w:rsidR="00B41E31" w:rsidRPr="00565C66" w14:paraId="205ACC70" w14:textId="77777777" w:rsidTr="00DC2245">
        <w:trPr>
          <w:trHeight w:val="299"/>
        </w:trPr>
        <w:tc>
          <w:tcPr>
            <w:tcW w:w="1163" w:type="pct"/>
            <w:vMerge/>
          </w:tcPr>
          <w:p w14:paraId="5AE0B528" w14:textId="77777777" w:rsidR="00B41E31" w:rsidRPr="00EC7E39" w:rsidRDefault="00B41E31" w:rsidP="00EC7E39">
            <w:pPr>
              <w:spacing w:line="300" w:lineRule="exact"/>
            </w:pPr>
          </w:p>
        </w:tc>
        <w:tc>
          <w:tcPr>
            <w:tcW w:w="2578" w:type="pct"/>
          </w:tcPr>
          <w:p w14:paraId="7992A940" w14:textId="27CF724B" w:rsidR="00B41E31" w:rsidRPr="00EC7E39" w:rsidRDefault="00B41E31" w:rsidP="00EC7E39">
            <w:pPr>
              <w:spacing w:line="300" w:lineRule="exact"/>
            </w:pPr>
            <w:r w:rsidRPr="00EC7E39">
              <w:t>All vehicles and premises will be supplied and fitted with required safety equipment including first aid kits and fire extinguishers.</w:t>
            </w:r>
          </w:p>
        </w:tc>
        <w:tc>
          <w:tcPr>
            <w:tcW w:w="1259" w:type="pct"/>
          </w:tcPr>
          <w:p w14:paraId="0A7407C5" w14:textId="5C6066C9" w:rsidR="00B41E31" w:rsidRPr="00EC7E39" w:rsidRDefault="00B41E31" w:rsidP="00EC7E39">
            <w:pPr>
              <w:numPr>
                <w:ilvl w:val="0"/>
                <w:numId w:val="1"/>
              </w:numPr>
              <w:tabs>
                <w:tab w:val="clear" w:pos="360"/>
                <w:tab w:val="num" w:pos="423"/>
                <w:tab w:val="center" w:pos="4153"/>
                <w:tab w:val="right" w:pos="8306"/>
              </w:tabs>
              <w:ind w:left="423"/>
            </w:pPr>
            <w:r>
              <w:t>Vehicle Safety Inspection Checklist.</w:t>
            </w:r>
          </w:p>
        </w:tc>
      </w:tr>
      <w:tr w:rsidR="00B41E31" w:rsidRPr="00565C66" w14:paraId="7D59E2A9" w14:textId="77777777" w:rsidTr="00DC2245">
        <w:trPr>
          <w:trHeight w:val="299"/>
        </w:trPr>
        <w:tc>
          <w:tcPr>
            <w:tcW w:w="1163" w:type="pct"/>
            <w:vMerge w:val="restart"/>
          </w:tcPr>
          <w:p w14:paraId="7954080E" w14:textId="77777777" w:rsidR="00B41E31" w:rsidRPr="00EC7E39" w:rsidRDefault="00B41E31" w:rsidP="00EC7E39">
            <w:r w:rsidRPr="00EC7E39">
              <w:t>Maintenance and Monitoring.</w:t>
            </w:r>
          </w:p>
          <w:p w14:paraId="0AC70E7E" w14:textId="1318CA66" w:rsidR="00B41E31" w:rsidRPr="00EC7E39" w:rsidRDefault="00B41E31" w:rsidP="00EC7E39">
            <w:pPr>
              <w:spacing w:line="300" w:lineRule="exact"/>
            </w:pPr>
          </w:p>
        </w:tc>
        <w:tc>
          <w:tcPr>
            <w:tcW w:w="2578" w:type="pct"/>
          </w:tcPr>
          <w:p w14:paraId="1183B897" w14:textId="2FFC16E7" w:rsidR="00B41E31" w:rsidRPr="00EC7E39" w:rsidRDefault="00B41E31" w:rsidP="00EC7E39">
            <w:pPr>
              <w:spacing w:line="300" w:lineRule="exact"/>
            </w:pPr>
            <w:r w:rsidRPr="00EC7E39">
              <w:t>Individual workers are responsible to maintain and monitor the condition of their own PPE and request replacement as required. PPE should be properly stored in containers e.g., plastic containers with lids.</w:t>
            </w:r>
            <w:r w:rsidR="005C7B30">
              <w:t xml:space="preserve"> </w:t>
            </w:r>
          </w:p>
        </w:tc>
        <w:tc>
          <w:tcPr>
            <w:tcW w:w="1259" w:type="pct"/>
          </w:tcPr>
          <w:p w14:paraId="054D30E8" w14:textId="7068FA02" w:rsidR="00B41E31" w:rsidRPr="00EC7E39" w:rsidRDefault="00B41E31" w:rsidP="00EC7E39">
            <w:pPr>
              <w:numPr>
                <w:ilvl w:val="0"/>
                <w:numId w:val="1"/>
              </w:numPr>
              <w:tabs>
                <w:tab w:val="clear" w:pos="360"/>
                <w:tab w:val="num" w:pos="423"/>
                <w:tab w:val="center" w:pos="4153"/>
                <w:tab w:val="right" w:pos="8306"/>
              </w:tabs>
              <w:ind w:left="423"/>
            </w:pPr>
            <w:r w:rsidRPr="00EC7E39">
              <w:t>Visual check.</w:t>
            </w:r>
          </w:p>
        </w:tc>
      </w:tr>
      <w:tr w:rsidR="00B41E31" w:rsidRPr="00565C66" w14:paraId="003B5C6B" w14:textId="77777777" w:rsidTr="00DC2245">
        <w:trPr>
          <w:trHeight w:val="299"/>
        </w:trPr>
        <w:tc>
          <w:tcPr>
            <w:tcW w:w="1163" w:type="pct"/>
            <w:vMerge/>
          </w:tcPr>
          <w:p w14:paraId="0C5502D4" w14:textId="06F74292" w:rsidR="00B41E31" w:rsidRPr="00EC7E39" w:rsidRDefault="00B41E31" w:rsidP="00EC7E39">
            <w:pPr>
              <w:spacing w:line="300" w:lineRule="exact"/>
            </w:pPr>
          </w:p>
        </w:tc>
        <w:tc>
          <w:tcPr>
            <w:tcW w:w="2578" w:type="pct"/>
          </w:tcPr>
          <w:p w14:paraId="345A4077" w14:textId="064C00E3" w:rsidR="00B41E31" w:rsidRPr="00EC7E39" w:rsidRDefault="00B41E31" w:rsidP="00EC7E39">
            <w:pPr>
              <w:tabs>
                <w:tab w:val="center" w:pos="4153"/>
                <w:tab w:val="right" w:pos="8306"/>
              </w:tabs>
            </w:pPr>
            <w:r w:rsidRPr="00EC7E39">
              <w:t>First aid kits will be checked and restocked as required.</w:t>
            </w:r>
          </w:p>
        </w:tc>
        <w:tc>
          <w:tcPr>
            <w:tcW w:w="1259" w:type="pct"/>
          </w:tcPr>
          <w:p w14:paraId="0567F554" w14:textId="2CCAB625" w:rsidR="00B41E31" w:rsidRPr="00EC7E39" w:rsidRDefault="00B41E31" w:rsidP="00EC7E39">
            <w:pPr>
              <w:numPr>
                <w:ilvl w:val="0"/>
                <w:numId w:val="1"/>
              </w:numPr>
              <w:tabs>
                <w:tab w:val="clear" w:pos="360"/>
                <w:tab w:val="num" w:pos="423"/>
                <w:tab w:val="center" w:pos="4153"/>
                <w:tab w:val="right" w:pos="8306"/>
              </w:tabs>
              <w:ind w:left="423"/>
            </w:pPr>
            <w:r w:rsidRPr="00EC7E39">
              <w:t>First Aid Kit Contents list.</w:t>
            </w:r>
          </w:p>
        </w:tc>
      </w:tr>
      <w:tr w:rsidR="00B41E31" w:rsidRPr="00565C66" w14:paraId="795135AD" w14:textId="77777777" w:rsidTr="00DC2245">
        <w:trPr>
          <w:trHeight w:val="299"/>
        </w:trPr>
        <w:tc>
          <w:tcPr>
            <w:tcW w:w="1163" w:type="pct"/>
            <w:vMerge/>
          </w:tcPr>
          <w:p w14:paraId="396CEB1A" w14:textId="2AD46A00" w:rsidR="00B41E31" w:rsidRPr="00EC7E39" w:rsidRDefault="00B41E31" w:rsidP="00B41E31"/>
        </w:tc>
        <w:tc>
          <w:tcPr>
            <w:tcW w:w="2578" w:type="pct"/>
          </w:tcPr>
          <w:p w14:paraId="228424CE" w14:textId="4600F8B8" w:rsidR="00B41E31" w:rsidRPr="00EC7E39" w:rsidRDefault="00B41E31" w:rsidP="00EC7E39">
            <w:pPr>
              <w:tabs>
                <w:tab w:val="center" w:pos="4153"/>
                <w:tab w:val="right" w:pos="8306"/>
              </w:tabs>
            </w:pPr>
            <w:r w:rsidRPr="00EC7E39">
              <w:t xml:space="preserve">Fire extinguishers will be serviced </w:t>
            </w:r>
            <w:r w:rsidRPr="00690B54">
              <w:t xml:space="preserve">every </w:t>
            </w:r>
            <w:r w:rsidRPr="00B41E31">
              <w:rPr>
                <w:b/>
                <w:bCs/>
              </w:rPr>
              <w:t>6</w:t>
            </w:r>
            <w:r w:rsidRPr="00EC7E39">
              <w:t xml:space="preserve"> </w:t>
            </w:r>
            <w:r w:rsidRPr="00690B54">
              <w:t xml:space="preserve">months according to </w:t>
            </w:r>
            <w:r w:rsidRPr="00B41E31">
              <w:rPr>
                <w:b/>
                <w:bCs/>
              </w:rPr>
              <w:t>AS 1851 - 20012</w:t>
            </w:r>
            <w:r>
              <w:t xml:space="preserve">- </w:t>
            </w:r>
            <w:r w:rsidRPr="00090B5B">
              <w:t>Maintenance of Fire Protection</w:t>
            </w:r>
            <w:r>
              <w:t xml:space="preserve"> </w:t>
            </w:r>
            <w:r w:rsidRPr="00090B5B">
              <w:t>Systems and Equipment</w:t>
            </w:r>
            <w:r>
              <w:t>.</w:t>
            </w:r>
          </w:p>
        </w:tc>
        <w:tc>
          <w:tcPr>
            <w:tcW w:w="1259" w:type="pct"/>
          </w:tcPr>
          <w:p w14:paraId="4284BCF1" w14:textId="2E529684" w:rsidR="00B41E31" w:rsidRPr="00EC7E39" w:rsidRDefault="00B41E31" w:rsidP="00EC7E39">
            <w:pPr>
              <w:numPr>
                <w:ilvl w:val="0"/>
                <w:numId w:val="1"/>
              </w:numPr>
              <w:tabs>
                <w:tab w:val="clear" w:pos="360"/>
                <w:tab w:val="num" w:pos="423"/>
                <w:tab w:val="center" w:pos="4153"/>
                <w:tab w:val="right" w:pos="8306"/>
              </w:tabs>
              <w:ind w:left="423"/>
            </w:pPr>
            <w:r w:rsidRPr="00EC7E39">
              <w:t>Visual check of inspection tags.</w:t>
            </w:r>
          </w:p>
        </w:tc>
      </w:tr>
      <w:tr w:rsidR="00B41E31" w:rsidRPr="00565C66" w14:paraId="44B9D476" w14:textId="77777777" w:rsidTr="00DC2245">
        <w:trPr>
          <w:trHeight w:val="299"/>
        </w:trPr>
        <w:tc>
          <w:tcPr>
            <w:tcW w:w="1163" w:type="pct"/>
            <w:vMerge/>
          </w:tcPr>
          <w:p w14:paraId="23FD4464" w14:textId="77777777" w:rsidR="00B41E31" w:rsidRPr="00EC7E39" w:rsidRDefault="00B41E31" w:rsidP="00EC7E39"/>
        </w:tc>
        <w:tc>
          <w:tcPr>
            <w:tcW w:w="2578" w:type="pct"/>
          </w:tcPr>
          <w:p w14:paraId="463582C0" w14:textId="2818825E" w:rsidR="00B41E31" w:rsidRPr="00EC7E39" w:rsidRDefault="00B41E31" w:rsidP="00EC7E39">
            <w:pPr>
              <w:tabs>
                <w:tab w:val="center" w:pos="4153"/>
                <w:tab w:val="right" w:pos="8306"/>
              </w:tabs>
            </w:pPr>
            <w:r>
              <w:t>Emergency and exit lighting</w:t>
            </w:r>
            <w:r w:rsidRPr="002756A0">
              <w:t xml:space="preserve"> will be inspected every </w:t>
            </w:r>
            <w:r w:rsidRPr="00B41E31">
              <w:rPr>
                <w:b/>
                <w:bCs/>
              </w:rPr>
              <w:t>6</w:t>
            </w:r>
            <w:r w:rsidRPr="002756A0">
              <w:t xml:space="preserve"> months according to </w:t>
            </w:r>
            <w:r w:rsidRPr="00B41E31">
              <w:rPr>
                <w:b/>
                <w:bCs/>
              </w:rPr>
              <w:t>AS/NZS 2293.2:2019</w:t>
            </w:r>
            <w:r w:rsidRPr="00EC7E39">
              <w:t xml:space="preserve"> - </w:t>
            </w:r>
            <w:r w:rsidRPr="006B3492">
              <w:t xml:space="preserve">Emergency escape lighting and </w:t>
            </w:r>
            <w:r w:rsidRPr="006B3492">
              <w:lastRenderedPageBreak/>
              <w:t>exit</w:t>
            </w:r>
            <w:r>
              <w:t xml:space="preserve"> </w:t>
            </w:r>
            <w:r w:rsidRPr="006B3492">
              <w:t>signs for buildings</w:t>
            </w:r>
            <w:r>
              <w:t xml:space="preserve"> - </w:t>
            </w:r>
            <w:r w:rsidRPr="006B3492">
              <w:t>Part 2: Inspection and maintenance</w:t>
            </w:r>
            <w:r>
              <w:t>.</w:t>
            </w:r>
          </w:p>
        </w:tc>
        <w:tc>
          <w:tcPr>
            <w:tcW w:w="1259" w:type="pct"/>
          </w:tcPr>
          <w:p w14:paraId="0DE5D219" w14:textId="4F4E1F46" w:rsidR="00B41E31" w:rsidRPr="00EC7E39" w:rsidRDefault="00B41E31" w:rsidP="00EC7E39">
            <w:pPr>
              <w:numPr>
                <w:ilvl w:val="0"/>
                <w:numId w:val="1"/>
              </w:numPr>
              <w:tabs>
                <w:tab w:val="clear" w:pos="360"/>
                <w:tab w:val="num" w:pos="423"/>
                <w:tab w:val="center" w:pos="4153"/>
                <w:tab w:val="right" w:pos="8306"/>
              </w:tabs>
              <w:ind w:left="423"/>
            </w:pPr>
            <w:r w:rsidRPr="00EC7E39">
              <w:lastRenderedPageBreak/>
              <w:t>Inspection records.</w:t>
            </w:r>
          </w:p>
        </w:tc>
      </w:tr>
      <w:tr w:rsidR="00B41E31" w:rsidRPr="00565C66" w14:paraId="04914869" w14:textId="77777777" w:rsidTr="00DC2245">
        <w:trPr>
          <w:trHeight w:val="299"/>
        </w:trPr>
        <w:tc>
          <w:tcPr>
            <w:tcW w:w="1163" w:type="pct"/>
            <w:vMerge w:val="restart"/>
          </w:tcPr>
          <w:p w14:paraId="14512A7D" w14:textId="54938DBB" w:rsidR="00B41E31" w:rsidRPr="00EC7E39" w:rsidRDefault="00B41E31" w:rsidP="00EC7E39">
            <w:r w:rsidRPr="00EC7E39">
              <w:t>Signage.</w:t>
            </w:r>
          </w:p>
        </w:tc>
        <w:tc>
          <w:tcPr>
            <w:tcW w:w="2578" w:type="pct"/>
          </w:tcPr>
          <w:p w14:paraId="08D7B8E8" w14:textId="3BB11181" w:rsidR="00B41E31" w:rsidRDefault="00B41E31" w:rsidP="00EC7E39">
            <w:pPr>
              <w:tabs>
                <w:tab w:val="center" w:pos="4153"/>
                <w:tab w:val="right" w:pos="8306"/>
              </w:tabs>
            </w:pPr>
            <w:r w:rsidRPr="00EC7E39">
              <w:t>Areas requiring the use of PPE will be clearly identified with appropriate eye, hearing, face and foot protection signs e.g., on the door to the plant room, near where chemicals are stored/used.</w:t>
            </w:r>
          </w:p>
        </w:tc>
        <w:tc>
          <w:tcPr>
            <w:tcW w:w="1259" w:type="pct"/>
          </w:tcPr>
          <w:p w14:paraId="56DD584C" w14:textId="12F96226" w:rsidR="00B41E31" w:rsidRPr="00EC7E39" w:rsidRDefault="00B41E31" w:rsidP="00EC7E39">
            <w:pPr>
              <w:numPr>
                <w:ilvl w:val="0"/>
                <w:numId w:val="1"/>
              </w:numPr>
              <w:tabs>
                <w:tab w:val="clear" w:pos="360"/>
                <w:tab w:val="num" w:pos="423"/>
                <w:tab w:val="center" w:pos="4153"/>
                <w:tab w:val="right" w:pos="8306"/>
              </w:tabs>
              <w:ind w:left="423"/>
            </w:pPr>
            <w:r w:rsidRPr="00EC7E39">
              <w:t>Visual check.</w:t>
            </w:r>
          </w:p>
        </w:tc>
      </w:tr>
      <w:tr w:rsidR="00B41E31" w:rsidRPr="00565C66" w14:paraId="40F5568F" w14:textId="77777777" w:rsidTr="00DC2245">
        <w:trPr>
          <w:trHeight w:val="299"/>
        </w:trPr>
        <w:tc>
          <w:tcPr>
            <w:tcW w:w="1163" w:type="pct"/>
            <w:vMerge/>
          </w:tcPr>
          <w:p w14:paraId="5C55F262" w14:textId="77777777" w:rsidR="00B41E31" w:rsidRPr="00EC7E39" w:rsidRDefault="00B41E31" w:rsidP="00EC7E39"/>
        </w:tc>
        <w:tc>
          <w:tcPr>
            <w:tcW w:w="2578" w:type="pct"/>
          </w:tcPr>
          <w:p w14:paraId="68408499" w14:textId="1F06833E" w:rsidR="00B41E31" w:rsidRPr="00EC7E39" w:rsidRDefault="00B41E31" w:rsidP="00EC7E39">
            <w:pPr>
              <w:tabs>
                <w:tab w:val="center" w:pos="4153"/>
                <w:tab w:val="right" w:pos="8306"/>
              </w:tabs>
            </w:pPr>
            <w:r w:rsidRPr="00EC7E39">
              <w:t>Appropriate traffic control signs will be in place e.g., speed restrictions, traffic direction and pedestrian signs.</w:t>
            </w:r>
          </w:p>
        </w:tc>
        <w:tc>
          <w:tcPr>
            <w:tcW w:w="1259" w:type="pct"/>
          </w:tcPr>
          <w:p w14:paraId="0E2BCA1C" w14:textId="57E5AC73" w:rsidR="00B41E31" w:rsidRPr="00EC7E39" w:rsidRDefault="00B41E31" w:rsidP="00EC7E39">
            <w:pPr>
              <w:numPr>
                <w:ilvl w:val="0"/>
                <w:numId w:val="1"/>
              </w:numPr>
              <w:tabs>
                <w:tab w:val="clear" w:pos="360"/>
                <w:tab w:val="num" w:pos="423"/>
                <w:tab w:val="center" w:pos="4153"/>
                <w:tab w:val="right" w:pos="8306"/>
              </w:tabs>
              <w:ind w:left="423"/>
            </w:pPr>
            <w:r w:rsidRPr="00EC7E39">
              <w:t>Visual check.</w:t>
            </w:r>
          </w:p>
        </w:tc>
      </w:tr>
      <w:tr w:rsidR="00B41E31" w:rsidRPr="00565C66" w14:paraId="2EEDB336" w14:textId="77777777" w:rsidTr="00DC2245">
        <w:trPr>
          <w:trHeight w:val="299"/>
        </w:trPr>
        <w:tc>
          <w:tcPr>
            <w:tcW w:w="1163" w:type="pct"/>
            <w:vMerge/>
          </w:tcPr>
          <w:p w14:paraId="7C5D4631" w14:textId="77777777" w:rsidR="00B41E31" w:rsidRPr="00EC7E39" w:rsidRDefault="00B41E31" w:rsidP="00EC7E39"/>
        </w:tc>
        <w:tc>
          <w:tcPr>
            <w:tcW w:w="2578" w:type="pct"/>
          </w:tcPr>
          <w:p w14:paraId="215AB3B9" w14:textId="7000DA08" w:rsidR="00B41E31" w:rsidRPr="00EC7E39" w:rsidRDefault="00B41E31" w:rsidP="00EC7E39">
            <w:pPr>
              <w:tabs>
                <w:tab w:val="center" w:pos="4153"/>
                <w:tab w:val="right" w:pos="8306"/>
              </w:tabs>
            </w:pPr>
            <w:r w:rsidRPr="00EC7E39">
              <w:t>Use specific warning signs (e.g., slippery surface, cleaning in progress, no entry) to warn people of hazards.</w:t>
            </w:r>
          </w:p>
        </w:tc>
        <w:tc>
          <w:tcPr>
            <w:tcW w:w="1259" w:type="pct"/>
          </w:tcPr>
          <w:p w14:paraId="2FAD85AB" w14:textId="6BB966AE" w:rsidR="00B41E31" w:rsidRPr="00EC7E39" w:rsidRDefault="00B41E31" w:rsidP="00EC7E39">
            <w:pPr>
              <w:numPr>
                <w:ilvl w:val="0"/>
                <w:numId w:val="1"/>
              </w:numPr>
              <w:tabs>
                <w:tab w:val="clear" w:pos="360"/>
                <w:tab w:val="num" w:pos="423"/>
                <w:tab w:val="center" w:pos="4153"/>
                <w:tab w:val="right" w:pos="8306"/>
              </w:tabs>
              <w:ind w:left="423"/>
            </w:pPr>
            <w:r w:rsidRPr="00EC7E39">
              <w:t>Visual check.</w:t>
            </w:r>
          </w:p>
        </w:tc>
      </w:tr>
      <w:tr w:rsidR="00EC7E39" w:rsidRPr="00565C66" w14:paraId="61088EFE" w14:textId="77777777" w:rsidTr="00DC2245">
        <w:trPr>
          <w:trHeight w:val="299"/>
        </w:trPr>
        <w:tc>
          <w:tcPr>
            <w:tcW w:w="1163" w:type="pct"/>
          </w:tcPr>
          <w:p w14:paraId="75563332" w14:textId="206294F2" w:rsidR="00EC7E39" w:rsidRPr="00EC7E39" w:rsidRDefault="00EC7E39" w:rsidP="00EC7E39">
            <w:r w:rsidRPr="00EC7E39">
              <w:t>Isolating work or hazardous areas.</w:t>
            </w:r>
          </w:p>
        </w:tc>
        <w:tc>
          <w:tcPr>
            <w:tcW w:w="2578" w:type="pct"/>
          </w:tcPr>
          <w:p w14:paraId="06F6ED2B" w14:textId="00F8C642" w:rsidR="00EC7E39" w:rsidRPr="00EC7E39" w:rsidRDefault="00EC7E39" w:rsidP="00EC7E39">
            <w:pPr>
              <w:tabs>
                <w:tab w:val="center" w:pos="4153"/>
                <w:tab w:val="right" w:pos="8306"/>
              </w:tabs>
            </w:pPr>
            <w:r w:rsidRPr="00EC7E39">
              <w:t xml:space="preserve">Use bollards, orange mesh, warning tape to isolate </w:t>
            </w:r>
            <w:r w:rsidRPr="00EC7E39">
              <w:rPr>
                <w:b/>
                <w:bCs/>
                <w:color w:val="FF0000"/>
              </w:rPr>
              <w:t>NO GO</w:t>
            </w:r>
            <w:r w:rsidRPr="00EC7E39">
              <w:rPr>
                <w:color w:val="FF0000"/>
              </w:rPr>
              <w:t xml:space="preserve"> </w:t>
            </w:r>
            <w:r w:rsidRPr="00EC7E39">
              <w:t>areas to protect people from hazards or work areas.</w:t>
            </w:r>
          </w:p>
        </w:tc>
        <w:tc>
          <w:tcPr>
            <w:tcW w:w="1259" w:type="pct"/>
          </w:tcPr>
          <w:p w14:paraId="49F54298" w14:textId="62DA8A3F" w:rsidR="00EC7E39" w:rsidRPr="00EC7E39" w:rsidRDefault="00EC7E39" w:rsidP="00EC7E39">
            <w:pPr>
              <w:numPr>
                <w:ilvl w:val="0"/>
                <w:numId w:val="1"/>
              </w:numPr>
              <w:tabs>
                <w:tab w:val="clear" w:pos="360"/>
                <w:tab w:val="num" w:pos="423"/>
                <w:tab w:val="center" w:pos="4153"/>
                <w:tab w:val="right" w:pos="8306"/>
              </w:tabs>
              <w:ind w:left="423"/>
            </w:pPr>
            <w:r w:rsidRPr="00EC7E39">
              <w:t>Visual check.</w:t>
            </w:r>
          </w:p>
        </w:tc>
      </w:tr>
      <w:tr w:rsidR="00EC7E39" w:rsidRPr="00565C66" w14:paraId="4956D26C" w14:textId="77777777" w:rsidTr="00DC2245">
        <w:trPr>
          <w:trHeight w:val="299"/>
        </w:trPr>
        <w:tc>
          <w:tcPr>
            <w:tcW w:w="1163" w:type="pct"/>
          </w:tcPr>
          <w:p w14:paraId="193DCF08" w14:textId="22D362E3" w:rsidR="00EC7E39" w:rsidRPr="00EC7E39" w:rsidRDefault="00EC7E39" w:rsidP="00EC7E39">
            <w:r w:rsidRPr="00EC7E39">
              <w:t>Inspections.</w:t>
            </w:r>
          </w:p>
        </w:tc>
        <w:tc>
          <w:tcPr>
            <w:tcW w:w="2578" w:type="pct"/>
          </w:tcPr>
          <w:p w14:paraId="733C2E36" w14:textId="2285564A" w:rsidR="00EC7E39" w:rsidRPr="00EC7E39" w:rsidRDefault="00EC7E39" w:rsidP="00EC7E39">
            <w:pPr>
              <w:tabs>
                <w:tab w:val="center" w:pos="4153"/>
                <w:tab w:val="right" w:pos="8306"/>
              </w:tabs>
            </w:pPr>
            <w:r w:rsidRPr="00EC7E39">
              <w:t>Check the availability and condition of PPE and safety equipment during your 6 monthly walk through using the Safety Inspection Checklist.</w:t>
            </w:r>
          </w:p>
        </w:tc>
        <w:tc>
          <w:tcPr>
            <w:tcW w:w="1259" w:type="pct"/>
          </w:tcPr>
          <w:p w14:paraId="66C5B252" w14:textId="704C14B8" w:rsidR="00EC7E39" w:rsidRPr="00EC7E39" w:rsidRDefault="00EC7E39" w:rsidP="00EC7E39">
            <w:pPr>
              <w:numPr>
                <w:ilvl w:val="0"/>
                <w:numId w:val="1"/>
              </w:numPr>
              <w:tabs>
                <w:tab w:val="clear" w:pos="360"/>
                <w:tab w:val="num" w:pos="423"/>
                <w:tab w:val="center" w:pos="4153"/>
                <w:tab w:val="right" w:pos="8306"/>
              </w:tabs>
              <w:ind w:left="423"/>
            </w:pPr>
            <w:r w:rsidRPr="00EC7E39">
              <w:t>Safety Inspection. Checklist.</w:t>
            </w:r>
          </w:p>
        </w:tc>
      </w:tr>
    </w:tbl>
    <w:p w14:paraId="172819D6" w14:textId="77777777" w:rsidR="00607B9F" w:rsidRDefault="00607B9F"/>
    <w:sectPr w:rsidR="00607B9F"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9139" w14:textId="77777777" w:rsidR="009548FB" w:rsidRDefault="009548FB" w:rsidP="007E4F87">
      <w:pPr>
        <w:spacing w:after="0" w:line="240" w:lineRule="auto"/>
      </w:pPr>
      <w:r>
        <w:separator/>
      </w:r>
    </w:p>
  </w:endnote>
  <w:endnote w:type="continuationSeparator" w:id="0">
    <w:p w14:paraId="0C637D19" w14:textId="77777777" w:rsidR="009548FB" w:rsidRDefault="009548FB"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8C61" w14:textId="77777777" w:rsidR="009548FB" w:rsidRDefault="009548FB" w:rsidP="007E4F87">
      <w:pPr>
        <w:spacing w:after="0" w:line="240" w:lineRule="auto"/>
      </w:pPr>
      <w:r>
        <w:separator/>
      </w:r>
    </w:p>
  </w:footnote>
  <w:footnote w:type="continuationSeparator" w:id="0">
    <w:p w14:paraId="31ABCAA5" w14:textId="77777777" w:rsidR="009548FB" w:rsidRDefault="009548FB"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4FFA4176" w:rsidR="001913C6" w:rsidRDefault="001913C6" w:rsidP="00421E9F">
          <w:pPr>
            <w:pStyle w:val="Header"/>
          </w:pPr>
          <w:r>
            <w:rPr>
              <w:color w:val="093C61"/>
              <w:sz w:val="16"/>
              <w:szCs w:val="16"/>
            </w:rPr>
            <w:t xml:space="preserve">Date: </w:t>
          </w:r>
          <w:r w:rsidR="00116926">
            <w:rPr>
              <w:color w:val="093C61"/>
              <w:sz w:val="16"/>
              <w:szCs w:val="16"/>
            </w:rPr>
            <w:t xml:space="preserve">August </w:t>
          </w:r>
          <w:r w:rsidRPr="00D237FE">
            <w:rPr>
              <w:color w:val="093C61"/>
              <w:sz w:val="16"/>
              <w:szCs w:val="16"/>
            </w:rPr>
            <w:t>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6"/>
  </w:num>
  <w:num w:numId="6">
    <w:abstractNumId w:val="8"/>
  </w:num>
  <w:num w:numId="7">
    <w:abstractNumId w:val="2"/>
  </w:num>
  <w:num w:numId="8">
    <w:abstractNumId w:val="4"/>
  </w:num>
  <w:num w:numId="9">
    <w:abstractNumId w:val="9"/>
  </w:num>
  <w:num w:numId="10">
    <w:abstractNumId w:val="0"/>
  </w:num>
  <w:num w:numId="11">
    <w:abstractNumId w:val="1"/>
  </w:num>
  <w:num w:numId="12">
    <w:abstractNumId w:val="5"/>
  </w:num>
  <w:num w:numId="13">
    <w:abstractNumId w:val="5"/>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27ED7"/>
    <w:rsid w:val="00030D23"/>
    <w:rsid w:val="000346A2"/>
    <w:rsid w:val="00041FB1"/>
    <w:rsid w:val="000442D7"/>
    <w:rsid w:val="00050753"/>
    <w:rsid w:val="00060872"/>
    <w:rsid w:val="00067122"/>
    <w:rsid w:val="00073ECD"/>
    <w:rsid w:val="000A7D66"/>
    <w:rsid w:val="000B2D64"/>
    <w:rsid w:val="000B7F6E"/>
    <w:rsid w:val="000D0B80"/>
    <w:rsid w:val="000D3FCF"/>
    <w:rsid w:val="000F0EA2"/>
    <w:rsid w:val="000F1647"/>
    <w:rsid w:val="001034EA"/>
    <w:rsid w:val="00116926"/>
    <w:rsid w:val="00140648"/>
    <w:rsid w:val="00143AC6"/>
    <w:rsid w:val="00147B44"/>
    <w:rsid w:val="001624D5"/>
    <w:rsid w:val="00184F01"/>
    <w:rsid w:val="00186C70"/>
    <w:rsid w:val="001913C6"/>
    <w:rsid w:val="00192C76"/>
    <w:rsid w:val="001938A7"/>
    <w:rsid w:val="00197943"/>
    <w:rsid w:val="001C2A57"/>
    <w:rsid w:val="001C364E"/>
    <w:rsid w:val="001C6FE8"/>
    <w:rsid w:val="00201598"/>
    <w:rsid w:val="002035CB"/>
    <w:rsid w:val="00210734"/>
    <w:rsid w:val="002122D9"/>
    <w:rsid w:val="002206C7"/>
    <w:rsid w:val="00232513"/>
    <w:rsid w:val="00237BF6"/>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4CA2"/>
    <w:rsid w:val="00304F11"/>
    <w:rsid w:val="00344F54"/>
    <w:rsid w:val="003609F4"/>
    <w:rsid w:val="0036398A"/>
    <w:rsid w:val="00377A15"/>
    <w:rsid w:val="0038224B"/>
    <w:rsid w:val="003B4E9A"/>
    <w:rsid w:val="003C5997"/>
    <w:rsid w:val="003E43EF"/>
    <w:rsid w:val="003F1926"/>
    <w:rsid w:val="003F2BAB"/>
    <w:rsid w:val="003F5BCB"/>
    <w:rsid w:val="00421E9F"/>
    <w:rsid w:val="004319CE"/>
    <w:rsid w:val="004428B9"/>
    <w:rsid w:val="004635B1"/>
    <w:rsid w:val="00472381"/>
    <w:rsid w:val="00476AA0"/>
    <w:rsid w:val="00477011"/>
    <w:rsid w:val="004A34AF"/>
    <w:rsid w:val="004A3769"/>
    <w:rsid w:val="004C398C"/>
    <w:rsid w:val="004E25C3"/>
    <w:rsid w:val="004F5510"/>
    <w:rsid w:val="005035C3"/>
    <w:rsid w:val="005054C1"/>
    <w:rsid w:val="00521035"/>
    <w:rsid w:val="00521E37"/>
    <w:rsid w:val="00524B79"/>
    <w:rsid w:val="005335EB"/>
    <w:rsid w:val="005506FE"/>
    <w:rsid w:val="00560469"/>
    <w:rsid w:val="00565C66"/>
    <w:rsid w:val="0057666B"/>
    <w:rsid w:val="005B575A"/>
    <w:rsid w:val="005C414A"/>
    <w:rsid w:val="005C7B30"/>
    <w:rsid w:val="005E567B"/>
    <w:rsid w:val="005E7E82"/>
    <w:rsid w:val="005F4125"/>
    <w:rsid w:val="00604037"/>
    <w:rsid w:val="00607865"/>
    <w:rsid w:val="00607B9F"/>
    <w:rsid w:val="00611E5F"/>
    <w:rsid w:val="00613F4F"/>
    <w:rsid w:val="006530F9"/>
    <w:rsid w:val="006618EB"/>
    <w:rsid w:val="00680B5B"/>
    <w:rsid w:val="00680DD5"/>
    <w:rsid w:val="00684491"/>
    <w:rsid w:val="00685C9F"/>
    <w:rsid w:val="006874E1"/>
    <w:rsid w:val="006B2A8F"/>
    <w:rsid w:val="006B3978"/>
    <w:rsid w:val="006B726E"/>
    <w:rsid w:val="006E1A2C"/>
    <w:rsid w:val="006E4307"/>
    <w:rsid w:val="006E6928"/>
    <w:rsid w:val="007026B5"/>
    <w:rsid w:val="00717843"/>
    <w:rsid w:val="0072295F"/>
    <w:rsid w:val="007255C6"/>
    <w:rsid w:val="00746D97"/>
    <w:rsid w:val="00747DCC"/>
    <w:rsid w:val="0075009D"/>
    <w:rsid w:val="007500CE"/>
    <w:rsid w:val="0076365E"/>
    <w:rsid w:val="00773E2A"/>
    <w:rsid w:val="00773F74"/>
    <w:rsid w:val="00774279"/>
    <w:rsid w:val="00776EA7"/>
    <w:rsid w:val="00795EB9"/>
    <w:rsid w:val="007A15CF"/>
    <w:rsid w:val="007B108E"/>
    <w:rsid w:val="007D35C5"/>
    <w:rsid w:val="007E4F87"/>
    <w:rsid w:val="008008DD"/>
    <w:rsid w:val="00812803"/>
    <w:rsid w:val="00816186"/>
    <w:rsid w:val="00826B22"/>
    <w:rsid w:val="00853CF5"/>
    <w:rsid w:val="008848FB"/>
    <w:rsid w:val="008949A6"/>
    <w:rsid w:val="008A63FF"/>
    <w:rsid w:val="008C21A7"/>
    <w:rsid w:val="008C67E4"/>
    <w:rsid w:val="008D424E"/>
    <w:rsid w:val="008D6B97"/>
    <w:rsid w:val="008E074B"/>
    <w:rsid w:val="008E428E"/>
    <w:rsid w:val="008E4D06"/>
    <w:rsid w:val="008F1730"/>
    <w:rsid w:val="00902B2C"/>
    <w:rsid w:val="00907748"/>
    <w:rsid w:val="0091228D"/>
    <w:rsid w:val="009548FB"/>
    <w:rsid w:val="009918EB"/>
    <w:rsid w:val="009A1235"/>
    <w:rsid w:val="009A5F46"/>
    <w:rsid w:val="009B4CF8"/>
    <w:rsid w:val="009C0D9A"/>
    <w:rsid w:val="009C42E4"/>
    <w:rsid w:val="009D64C0"/>
    <w:rsid w:val="009E5199"/>
    <w:rsid w:val="00A06A15"/>
    <w:rsid w:val="00A11FA2"/>
    <w:rsid w:val="00A12765"/>
    <w:rsid w:val="00A25FA7"/>
    <w:rsid w:val="00A275B5"/>
    <w:rsid w:val="00A63D44"/>
    <w:rsid w:val="00A840EB"/>
    <w:rsid w:val="00A858AA"/>
    <w:rsid w:val="00A91399"/>
    <w:rsid w:val="00AB2695"/>
    <w:rsid w:val="00AB66C4"/>
    <w:rsid w:val="00AD4048"/>
    <w:rsid w:val="00AE0B0E"/>
    <w:rsid w:val="00AE23B3"/>
    <w:rsid w:val="00B03939"/>
    <w:rsid w:val="00B21AD6"/>
    <w:rsid w:val="00B24684"/>
    <w:rsid w:val="00B2784B"/>
    <w:rsid w:val="00B40E60"/>
    <w:rsid w:val="00B41E31"/>
    <w:rsid w:val="00B548E2"/>
    <w:rsid w:val="00B57E6E"/>
    <w:rsid w:val="00B636BE"/>
    <w:rsid w:val="00B67065"/>
    <w:rsid w:val="00B8272A"/>
    <w:rsid w:val="00BA4E0F"/>
    <w:rsid w:val="00BB545E"/>
    <w:rsid w:val="00BF6288"/>
    <w:rsid w:val="00C17532"/>
    <w:rsid w:val="00C330AC"/>
    <w:rsid w:val="00C338D9"/>
    <w:rsid w:val="00C44BE4"/>
    <w:rsid w:val="00C54C55"/>
    <w:rsid w:val="00C655E4"/>
    <w:rsid w:val="00C6790D"/>
    <w:rsid w:val="00C77EB5"/>
    <w:rsid w:val="00C833C4"/>
    <w:rsid w:val="00C917B1"/>
    <w:rsid w:val="00C91F5F"/>
    <w:rsid w:val="00C9519B"/>
    <w:rsid w:val="00CB3822"/>
    <w:rsid w:val="00CB59DA"/>
    <w:rsid w:val="00CC42EF"/>
    <w:rsid w:val="00CC5361"/>
    <w:rsid w:val="00CD7A1F"/>
    <w:rsid w:val="00D237FE"/>
    <w:rsid w:val="00D353F3"/>
    <w:rsid w:val="00D36310"/>
    <w:rsid w:val="00D64C1E"/>
    <w:rsid w:val="00D80A5C"/>
    <w:rsid w:val="00D826C4"/>
    <w:rsid w:val="00D8569E"/>
    <w:rsid w:val="00DB1AFF"/>
    <w:rsid w:val="00DB6F92"/>
    <w:rsid w:val="00DC2245"/>
    <w:rsid w:val="00DC4BAB"/>
    <w:rsid w:val="00DD0132"/>
    <w:rsid w:val="00DD7EBC"/>
    <w:rsid w:val="00DF4E68"/>
    <w:rsid w:val="00DF66F8"/>
    <w:rsid w:val="00E0153D"/>
    <w:rsid w:val="00E1791E"/>
    <w:rsid w:val="00E23CF9"/>
    <w:rsid w:val="00E448D4"/>
    <w:rsid w:val="00E66226"/>
    <w:rsid w:val="00E92F62"/>
    <w:rsid w:val="00E954C5"/>
    <w:rsid w:val="00EB2847"/>
    <w:rsid w:val="00EC4F99"/>
    <w:rsid w:val="00EC7E39"/>
    <w:rsid w:val="00F005D9"/>
    <w:rsid w:val="00F26FDA"/>
    <w:rsid w:val="00F308DA"/>
    <w:rsid w:val="00F3372C"/>
    <w:rsid w:val="00F351C6"/>
    <w:rsid w:val="00F50691"/>
    <w:rsid w:val="00F674CD"/>
    <w:rsid w:val="00F7008D"/>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99</cp:revision>
  <cp:lastPrinted>2023-10-12T05:14:00Z</cp:lastPrinted>
  <dcterms:created xsi:type="dcterms:W3CDTF">2023-10-19T19:13:00Z</dcterms:created>
  <dcterms:modified xsi:type="dcterms:W3CDTF">2024-02-16T15:38:00Z</dcterms:modified>
</cp:coreProperties>
</file>