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8" w:rsidRPr="00DF66F8" w:rsidRDefault="00777AA2" w:rsidP="00007C04">
      <w:pPr>
        <w:pStyle w:val="Heading1"/>
      </w:pPr>
      <w:r>
        <w:t>SWM-1</w:t>
      </w:r>
      <w:r w:rsidR="00007C04">
        <w:t>6</w:t>
      </w:r>
      <w:r w:rsidR="0036398A">
        <w:t xml:space="preserve">. </w:t>
      </w:r>
      <w:r w:rsidR="00007C04" w:rsidRPr="00007C04">
        <w:t>Working in Adverse Weather</w:t>
      </w:r>
      <w:r w:rsidR="00AE5C43">
        <w:t xml:space="preserve"> SWMS</w:t>
      </w:r>
    </w:p>
    <w:p w:rsidR="005B575A" w:rsidRPr="004A3769" w:rsidRDefault="00007C04" w:rsidP="00007C04">
      <w:pPr>
        <w:pStyle w:val="BodyText"/>
        <w:rPr>
          <w:rFonts w:ascii="Montserrat" w:hAnsi="Montserrat"/>
          <w:b/>
          <w:bCs/>
          <w:color w:val="0064AA"/>
          <w:lang w:val="en-AU"/>
        </w:rPr>
      </w:pPr>
      <w:r>
        <w:rPr>
          <w:noProof/>
          <w:lang w:val="de-LI"/>
        </w:rPr>
        <w:drawing>
          <wp:anchor distT="0" distB="0" distL="114300" distR="114300" simplePos="0" relativeHeight="251658240" behindDoc="0" locked="0" layoutInCell="1" allowOverlap="1" wp14:anchorId="47CC8BDA" wp14:editId="0D1E0550">
            <wp:simplePos x="0" y="0"/>
            <wp:positionH relativeFrom="margin">
              <wp:align>right</wp:align>
            </wp:positionH>
            <wp:positionV relativeFrom="paragraph">
              <wp:posOffset>9525</wp:posOffset>
            </wp:positionV>
            <wp:extent cx="1422400" cy="988060"/>
            <wp:effectExtent l="0" t="0" r="6350" b="2540"/>
            <wp:wrapSquare wrapText="bothSides"/>
            <wp:docPr id="1" name="Picture 1" descr="DSCF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SCF107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22400" cy="988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575A" w:rsidRPr="005B575A">
        <w:rPr>
          <w:rFonts w:ascii="Montserrat" w:hAnsi="Montserrat"/>
          <w:b/>
          <w:bCs/>
          <w:color w:val="0064AA"/>
        </w:rPr>
        <w:t>ACWA</w:t>
      </w:r>
      <w:r w:rsidR="007255C6">
        <w:rPr>
          <w:rFonts w:ascii="Montserrat" w:hAnsi="Montserrat"/>
          <w:b/>
          <w:bCs/>
          <w:color w:val="0064AA"/>
        </w:rPr>
        <w:t xml:space="preserve">: </w:t>
      </w:r>
      <w:r w:rsidR="00684491" w:rsidRPr="00684491">
        <w:rPr>
          <w:rFonts w:ascii="Montserrat" w:hAnsi="Montserrat"/>
          <w:b/>
          <w:bCs/>
          <w:color w:val="0064AA"/>
        </w:rPr>
        <w:t xml:space="preserve">Safe Work Method – </w:t>
      </w:r>
      <w:r w:rsidRPr="00007C04">
        <w:rPr>
          <w:rFonts w:ascii="Montserrat" w:hAnsi="Montserrat"/>
          <w:b/>
          <w:bCs/>
          <w:color w:val="0064AA"/>
        </w:rPr>
        <w:t>Working in Adverse Weather</w:t>
      </w:r>
    </w:p>
    <w:p w:rsidR="00A11FA2" w:rsidRPr="00AE5C43" w:rsidRDefault="00CB3822" w:rsidP="00A11FA2">
      <w:pPr>
        <w:pStyle w:val="BodyText"/>
      </w:pPr>
      <w:r w:rsidRPr="00565C66">
        <w:rPr>
          <w:b/>
          <w:bCs/>
        </w:rPr>
        <w:t>Note:</w:t>
      </w:r>
      <w:r>
        <w:t xml:space="preserve"> </w:t>
      </w:r>
      <w:r w:rsidR="00A11FA2" w:rsidRPr="00A11FA2">
        <w:t xml:space="preserve">This Safe Work Method only provides guidance information and may not necessarily cover all possible hazards and should be used with other references </w:t>
      </w:r>
    </w:p>
    <w:p w:rsidR="00D36310" w:rsidRPr="00565C66" w:rsidRDefault="00CB3822" w:rsidP="00A11FA2">
      <w:pPr>
        <w:pStyle w:val="BodyText"/>
        <w:rPr>
          <w:b/>
          <w:bCs/>
        </w:rPr>
      </w:pPr>
      <w:r w:rsidRPr="00565C66">
        <w:rPr>
          <w:b/>
          <w:bCs/>
        </w:rPr>
        <w:t>Date: August/2023</w:t>
      </w:r>
      <w:r w:rsidR="00D36310" w:rsidRPr="00565C66">
        <w:rPr>
          <w:b/>
          <w:bCs/>
        </w:rPr>
        <w:t xml:space="preserve">.  </w:t>
      </w:r>
    </w:p>
    <w:tbl>
      <w:tblPr>
        <w:tblStyle w:val="TableGrid"/>
        <w:tblW w:w="5000" w:type="pct"/>
        <w:tblLook w:val="01E0" w:firstRow="1" w:lastRow="1" w:firstColumn="1" w:lastColumn="1" w:noHBand="0" w:noVBand="0"/>
      </w:tblPr>
      <w:tblGrid>
        <w:gridCol w:w="4676"/>
        <w:gridCol w:w="4340"/>
      </w:tblGrid>
      <w:tr w:rsidR="00C9519B" w:rsidRPr="00C9519B" w:rsidTr="00F26FD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p w:rsidR="00C9519B" w:rsidRPr="00C9519B" w:rsidRDefault="00C9519B" w:rsidP="00923EC0">
            <w:pPr>
              <w:jc w:val="center"/>
              <w:rPr>
                <w:b w:val="0"/>
                <w:sz w:val="24"/>
                <w:szCs w:val="24"/>
              </w:rPr>
            </w:pPr>
            <w:r w:rsidRPr="00C9519B">
              <w:rPr>
                <w:sz w:val="24"/>
                <w:szCs w:val="24"/>
              </w:rPr>
              <w:t>Risk Assessment</w:t>
            </w:r>
          </w:p>
        </w:tc>
      </w:tr>
      <w:tr w:rsidR="00C9519B" w:rsidRPr="00C9519B" w:rsidTr="008512DB">
        <w:trPr>
          <w:trHeight w:val="144"/>
        </w:trPr>
        <w:tc>
          <w:tcPr>
            <w:tcW w:w="2593" w:type="pct"/>
          </w:tcPr>
          <w:p w:rsidR="00C9519B" w:rsidRPr="00C9519B" w:rsidRDefault="00C9519B" w:rsidP="00923EC0">
            <w:pPr>
              <w:jc w:val="center"/>
              <w:rPr>
                <w:b/>
                <w:sz w:val="24"/>
                <w:szCs w:val="24"/>
              </w:rPr>
            </w:pPr>
            <w:r w:rsidRPr="00C9519B">
              <w:rPr>
                <w:b/>
                <w:sz w:val="24"/>
                <w:szCs w:val="24"/>
              </w:rPr>
              <w:t xml:space="preserve">Hazard </w:t>
            </w:r>
          </w:p>
        </w:tc>
        <w:tc>
          <w:tcPr>
            <w:tcW w:w="2407" w:type="pct"/>
          </w:tcPr>
          <w:p w:rsidR="00C9519B" w:rsidRPr="00C9519B" w:rsidRDefault="00C9519B" w:rsidP="00923EC0">
            <w:pPr>
              <w:jc w:val="center"/>
              <w:rPr>
                <w:b/>
                <w:sz w:val="24"/>
                <w:szCs w:val="24"/>
              </w:rPr>
            </w:pPr>
            <w:r w:rsidRPr="00C9519B">
              <w:rPr>
                <w:b/>
                <w:sz w:val="24"/>
                <w:szCs w:val="24"/>
              </w:rPr>
              <w:t>Risk</w:t>
            </w:r>
          </w:p>
        </w:tc>
      </w:tr>
      <w:tr w:rsidR="00F90FFB" w:rsidRPr="00F73AD3" w:rsidTr="008512DB">
        <w:trPr>
          <w:trHeight w:val="299"/>
        </w:trPr>
        <w:tc>
          <w:tcPr>
            <w:tcW w:w="2593" w:type="pct"/>
          </w:tcPr>
          <w:p w:rsidR="00F90FFB" w:rsidRPr="00954F4E" w:rsidRDefault="00F90FFB" w:rsidP="00F90FFB">
            <w:pPr>
              <w:spacing w:line="300" w:lineRule="exact"/>
            </w:pPr>
            <w:r>
              <w:t>Working in the sun</w:t>
            </w:r>
          </w:p>
        </w:tc>
        <w:tc>
          <w:tcPr>
            <w:tcW w:w="2407" w:type="pct"/>
          </w:tcPr>
          <w:p w:rsidR="00F90FFB" w:rsidRPr="00F90FFB" w:rsidRDefault="00F90FFB" w:rsidP="001918B6">
            <w:pPr>
              <w:numPr>
                <w:ilvl w:val="0"/>
                <w:numId w:val="1"/>
              </w:numPr>
              <w:tabs>
                <w:tab w:val="center" w:pos="4153"/>
                <w:tab w:val="right" w:pos="8306"/>
              </w:tabs>
              <w:rPr>
                <w:lang w:val="en-US"/>
              </w:rPr>
            </w:pPr>
            <w:r w:rsidRPr="00F90FFB">
              <w:rPr>
                <w:lang w:val="en-US"/>
              </w:rPr>
              <w:t xml:space="preserve">Injury/illness from </w:t>
            </w:r>
            <w:r w:rsidRPr="00F90FFB">
              <w:t>overexposure</w:t>
            </w:r>
            <w:r w:rsidRPr="00F90FFB">
              <w:rPr>
                <w:lang w:val="en-US"/>
              </w:rPr>
              <w:t xml:space="preserve"> to sun</w:t>
            </w:r>
          </w:p>
        </w:tc>
      </w:tr>
      <w:tr w:rsidR="00F90FFB" w:rsidRPr="00F73AD3" w:rsidTr="008512DB">
        <w:trPr>
          <w:trHeight w:val="299"/>
        </w:trPr>
        <w:tc>
          <w:tcPr>
            <w:tcW w:w="2593" w:type="pct"/>
          </w:tcPr>
          <w:p w:rsidR="00F90FFB" w:rsidRDefault="00F90FFB" w:rsidP="00F90FFB">
            <w:pPr>
              <w:spacing w:line="300" w:lineRule="exact"/>
            </w:pPr>
            <w:r>
              <w:t>Working in the cold</w:t>
            </w:r>
          </w:p>
        </w:tc>
        <w:tc>
          <w:tcPr>
            <w:tcW w:w="2407" w:type="pct"/>
          </w:tcPr>
          <w:p w:rsidR="00F90FFB" w:rsidRPr="009867DB" w:rsidRDefault="00F90FFB" w:rsidP="00F90FFB">
            <w:pPr>
              <w:numPr>
                <w:ilvl w:val="0"/>
                <w:numId w:val="1"/>
              </w:numPr>
              <w:tabs>
                <w:tab w:val="center" w:pos="4153"/>
                <w:tab w:val="right" w:pos="8306"/>
              </w:tabs>
              <w:rPr>
                <w:lang w:val="en-US"/>
              </w:rPr>
            </w:pPr>
            <w:r>
              <w:t>Hypothermia</w:t>
            </w:r>
          </w:p>
        </w:tc>
      </w:tr>
    </w:tbl>
    <w:p w:rsidR="006918F3" w:rsidRPr="006918F3" w:rsidRDefault="006340EB" w:rsidP="006918F3">
      <w:pPr>
        <w:pStyle w:val="Heading2"/>
        <w:rPr>
          <w:lang w:val="en-AU"/>
        </w:rPr>
      </w:pPr>
      <w:r w:rsidRPr="006340EB">
        <w:rPr>
          <w:lang w:val="en-AU"/>
        </w:rPr>
        <w:t>Sun Safety, Heat Stress &amp; Fatigue</w:t>
      </w:r>
    </w:p>
    <w:p w:rsidR="006340EB" w:rsidRDefault="006340EB" w:rsidP="006340EB">
      <w:pPr>
        <w:pStyle w:val="ListParagraph"/>
      </w:pPr>
      <w:r>
        <w:t>Dress appropriately for the heat or sun conditions,</w:t>
      </w:r>
    </w:p>
    <w:p w:rsidR="006340EB" w:rsidRDefault="006340EB" w:rsidP="006340EB">
      <w:pPr>
        <w:pStyle w:val="ListParagraph"/>
      </w:pPr>
      <w:r>
        <w:t>Where possible, schedule outside activities to avoid some, if not all, of the peak ultraviolet period (10 am to 3 pm),</w:t>
      </w:r>
    </w:p>
    <w:p w:rsidR="006340EB" w:rsidRDefault="006340EB" w:rsidP="006340EB">
      <w:pPr>
        <w:pStyle w:val="ListParagraph"/>
      </w:pPr>
      <w:r>
        <w:t xml:space="preserve">Always wear an appropriate hat when working in the sun, </w:t>
      </w:r>
    </w:p>
    <w:p w:rsidR="006340EB" w:rsidRDefault="006340EB" w:rsidP="006340EB">
      <w:pPr>
        <w:pStyle w:val="ListParagraph"/>
      </w:pPr>
      <w:r>
        <w:t>For tasks that require a lot of bending, have a flap on the back of the hat to keep the sun off the back of the neck,</w:t>
      </w:r>
    </w:p>
    <w:p w:rsidR="006340EB" w:rsidRDefault="006340EB" w:rsidP="006340EB">
      <w:pPr>
        <w:pStyle w:val="ListParagraph"/>
      </w:pPr>
      <w:r>
        <w:t xml:space="preserve">If possible, wear </w:t>
      </w:r>
      <w:proofErr w:type="spellStart"/>
      <w:r>
        <w:t>light-coloured</w:t>
      </w:r>
      <w:proofErr w:type="spellEnd"/>
      <w:r>
        <w:t xml:space="preserve"> clothes as they reflect the heat,</w:t>
      </w:r>
    </w:p>
    <w:p w:rsidR="006340EB" w:rsidRDefault="006340EB" w:rsidP="006340EB">
      <w:pPr>
        <w:pStyle w:val="ListParagraph"/>
      </w:pPr>
      <w:r>
        <w:t>Do not wear clothes that allow light through. This means that the UV rays are also getting through to your skin,</w:t>
      </w:r>
    </w:p>
    <w:p w:rsidR="006340EB" w:rsidRDefault="006340EB" w:rsidP="006340EB">
      <w:pPr>
        <w:pStyle w:val="ListParagraph"/>
      </w:pPr>
      <w:r>
        <w:t>When possible, try to perform outdoor tasks in the shade,</w:t>
      </w:r>
    </w:p>
    <w:p w:rsidR="006340EB" w:rsidRDefault="006340EB" w:rsidP="006340EB">
      <w:pPr>
        <w:pStyle w:val="ListParagraph"/>
      </w:pPr>
      <w:r>
        <w:t>Always wear appropriate clothing to cover the skin when working in the sun. If appropriate, wear longer-legged shorts and shirts or tops that have longer sleeves and a collar,</w:t>
      </w:r>
    </w:p>
    <w:p w:rsidR="006340EB" w:rsidRDefault="006340EB" w:rsidP="006340EB">
      <w:pPr>
        <w:pStyle w:val="ListParagraph"/>
      </w:pPr>
      <w:r>
        <w:t>If you choose to wear clothing that exposes the skin to the sun, you should regularly (suggest every 2 hours) apply 30+ water-resistant sunscreen to all areas of skin exposed. If perspiring freely or working with water, sunscreen must be reapplied more often,</w:t>
      </w:r>
    </w:p>
    <w:p w:rsidR="006340EB" w:rsidRDefault="006340EB" w:rsidP="006340EB">
      <w:pPr>
        <w:pStyle w:val="ListParagraph"/>
      </w:pPr>
      <w:r>
        <w:t>When possible, apply sunscreen onto dry skin at least 15 minutes prior to UV exposure,</w:t>
      </w:r>
    </w:p>
    <w:p w:rsidR="006340EB" w:rsidRDefault="006340EB" w:rsidP="006340EB">
      <w:pPr>
        <w:pStyle w:val="ListParagraph"/>
      </w:pPr>
      <w:r>
        <w:t>Always wear appropriate, wraparound sunglasses that offer 99% UV block out to give maximum protection to the eyes,</w:t>
      </w:r>
    </w:p>
    <w:p w:rsidR="006340EB" w:rsidRDefault="006340EB" w:rsidP="006340EB">
      <w:pPr>
        <w:pStyle w:val="ListParagraph"/>
      </w:pPr>
      <w:r>
        <w:t>Be wary on windy and cloudy days. Ultraviolet rays are scattered in all directions by the cloud and can still burn,</w:t>
      </w:r>
    </w:p>
    <w:p w:rsidR="006340EB" w:rsidRDefault="006340EB" w:rsidP="006340EB">
      <w:pPr>
        <w:pStyle w:val="ListParagraph"/>
      </w:pPr>
      <w:r>
        <w:t xml:space="preserve">Take extra precaution when working on or near water, concrete, sand and </w:t>
      </w:r>
      <w:proofErr w:type="spellStart"/>
      <w:r>
        <w:t>light-coloured</w:t>
      </w:r>
      <w:proofErr w:type="spellEnd"/>
      <w:r>
        <w:t xml:space="preserve"> surfaces as they reflect the UV rays and can inflict a more intense burn,</w:t>
      </w:r>
    </w:p>
    <w:p w:rsidR="006340EB" w:rsidRDefault="006340EB" w:rsidP="006340EB">
      <w:pPr>
        <w:pStyle w:val="ListParagraph"/>
      </w:pPr>
      <w:r>
        <w:t>Remember to drink sufficient water to prevent dehydration and fatigue during your work on hot and/or humid days,</w:t>
      </w:r>
    </w:p>
    <w:p w:rsidR="006340EB" w:rsidRDefault="006340EB" w:rsidP="006340EB">
      <w:pPr>
        <w:pStyle w:val="ListParagraph"/>
      </w:pPr>
      <w:r>
        <w:t>Take regular breaks on hot or humid days to prevent work/heat stress and the possibility of fatigue,</w:t>
      </w:r>
    </w:p>
    <w:p w:rsidR="006918F3" w:rsidRPr="006918F3" w:rsidRDefault="006340EB" w:rsidP="006340EB">
      <w:pPr>
        <w:pStyle w:val="ListParagraph"/>
      </w:pPr>
      <w:r>
        <w:t>Remain alert to the initial signs of heat stress/fatigue, e.g., dizziness nausea.</w:t>
      </w:r>
    </w:p>
    <w:p w:rsidR="006918F3" w:rsidRPr="006918F3" w:rsidRDefault="006340EB" w:rsidP="006918F3">
      <w:pPr>
        <w:pStyle w:val="Heading2"/>
        <w:rPr>
          <w:lang w:val="en-AU"/>
        </w:rPr>
      </w:pPr>
      <w:r w:rsidRPr="006340EB">
        <w:rPr>
          <w:lang w:val="en-AU"/>
        </w:rPr>
        <w:t>Working in Cold/Inclement Weather</w:t>
      </w:r>
    </w:p>
    <w:p w:rsidR="006340EB" w:rsidRDefault="006340EB" w:rsidP="006340EB">
      <w:pPr>
        <w:pStyle w:val="ListParagraph"/>
      </w:pPr>
      <w:r>
        <w:t xml:space="preserve">Dress appropriately for the cold, windy or wet conditions, </w:t>
      </w:r>
    </w:p>
    <w:p w:rsidR="006340EB" w:rsidRDefault="006340EB" w:rsidP="006340EB">
      <w:pPr>
        <w:pStyle w:val="ListParagraph"/>
      </w:pPr>
      <w:r>
        <w:t>Ensure you are wearing sufficient warm clothing on cold days,</w:t>
      </w:r>
    </w:p>
    <w:p w:rsidR="006340EB" w:rsidRDefault="006340EB" w:rsidP="006340EB">
      <w:pPr>
        <w:pStyle w:val="ListParagraph"/>
      </w:pPr>
      <w:r>
        <w:t>Always wear good quality socks and footwear, as it is important to keep the feet warm to prevent slips, trips and stumbles,</w:t>
      </w:r>
    </w:p>
    <w:p w:rsidR="006340EB" w:rsidRDefault="006340EB" w:rsidP="006340EB">
      <w:pPr>
        <w:pStyle w:val="ListParagraph"/>
      </w:pPr>
      <w:r>
        <w:lastRenderedPageBreak/>
        <w:t>If necessary, wear good quality thermal clothing to prevent body parts from exposure to severe cold and the possible onset of hypothermia,</w:t>
      </w:r>
    </w:p>
    <w:p w:rsidR="006340EB" w:rsidRDefault="006340EB" w:rsidP="006340EB">
      <w:pPr>
        <w:pStyle w:val="ListParagraph"/>
      </w:pPr>
      <w:r>
        <w:t>Wear gloves if operating equipment or machinery to keep the hands and fingers warm as required. This may prevent a potential accident from the incorrect or clumsy operation of the controls,</w:t>
      </w:r>
    </w:p>
    <w:p w:rsidR="006340EB" w:rsidRDefault="006340EB" w:rsidP="006340EB">
      <w:pPr>
        <w:pStyle w:val="ListParagraph"/>
      </w:pPr>
      <w:r>
        <w:t>Never run or rush on cold, wet or frosty days. Be particularly careful as you move around the site to prevent slips, trips and falls. Exercise extra caution if climbing equipment, e.g., ladders,</w:t>
      </w:r>
    </w:p>
    <w:p w:rsidR="0075214A" w:rsidRPr="0075214A" w:rsidRDefault="006340EB" w:rsidP="006340EB">
      <w:pPr>
        <w:pStyle w:val="ListParagraph"/>
      </w:pPr>
      <w:r>
        <w:t>Always have good quality, waterproof clothing on hand to use as required.</w:t>
      </w:r>
      <w:bookmarkStart w:id="0" w:name="_GoBack"/>
      <w:bookmarkEnd w:id="0"/>
    </w:p>
    <w:sectPr w:rsidR="0075214A" w:rsidRPr="0075214A" w:rsidSect="00476AA0">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8B6" w:rsidRDefault="001918B6" w:rsidP="007E4F87">
      <w:pPr>
        <w:spacing w:after="0" w:line="240" w:lineRule="auto"/>
      </w:pPr>
      <w:r>
        <w:separator/>
      </w:r>
    </w:p>
  </w:endnote>
  <w:endnote w:type="continuationSeparator" w:id="0">
    <w:p w:rsidR="001918B6" w:rsidRDefault="001918B6"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rsidTr="00EB2847">
      <w:tc>
        <w:tcPr>
          <w:tcW w:w="4090" w:type="pct"/>
        </w:tcPr>
        <w:p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6340EB" w:rsidRPr="006340EB">
            <w:rPr>
              <w:bCs/>
              <w:noProof/>
              <w:color w:val="0064AA"/>
              <w:sz w:val="16"/>
              <w:szCs w:val="16"/>
              <w:lang w:val="en-US"/>
            </w:rPr>
            <w:t>2</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6340EB" w:rsidRPr="006340EB">
            <w:rPr>
              <w:bCs/>
              <w:noProof/>
              <w:color w:val="0064AA"/>
              <w:sz w:val="16"/>
              <w:szCs w:val="16"/>
              <w:lang w:val="en-US"/>
            </w:rPr>
            <w:t>2</w:t>
          </w:r>
          <w:r w:rsidRPr="002206C7">
            <w:rPr>
              <w:b/>
              <w:bCs/>
              <w:color w:val="0064AA"/>
              <w:sz w:val="16"/>
              <w:szCs w:val="16"/>
              <w:lang w:val="en-US"/>
            </w:rPr>
            <w:fldChar w:fldCharType="end"/>
          </w:r>
        </w:p>
      </w:tc>
    </w:tr>
  </w:tbl>
  <w:p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8B6" w:rsidRDefault="001918B6" w:rsidP="007E4F87">
      <w:pPr>
        <w:spacing w:after="0" w:line="240" w:lineRule="auto"/>
      </w:pPr>
      <w:r>
        <w:separator/>
      </w:r>
    </w:p>
  </w:footnote>
  <w:footnote w:type="continuationSeparator" w:id="0">
    <w:p w:rsidR="001918B6" w:rsidRDefault="001918B6"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9016"/>
    </w:tblGrid>
    <w:tr w:rsidR="00F351C6" w:rsidTr="002206C7">
      <w:tc>
        <w:tcPr>
          <w:tcW w:w="9016" w:type="dxa"/>
        </w:tcPr>
        <w:p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5446F8E9" wp14:editId="41C7DB23">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rsidR="00F351C6" w:rsidRDefault="007026B5" w:rsidP="00AA2457">
          <w:pPr>
            <w:pStyle w:val="Header"/>
          </w:pPr>
          <w:r>
            <w:rPr>
              <w:color w:val="093C61"/>
              <w:sz w:val="16"/>
              <w:szCs w:val="16"/>
            </w:rPr>
            <w:t xml:space="preserve">Date: </w:t>
          </w:r>
          <w:r w:rsidR="00AA2457">
            <w:rPr>
              <w:color w:val="093C61"/>
              <w:sz w:val="16"/>
              <w:szCs w:val="16"/>
            </w:rPr>
            <w:t>August</w:t>
          </w:r>
          <w:r w:rsidR="00F351C6" w:rsidRPr="004F5510">
            <w:rPr>
              <w:color w:val="093C61"/>
              <w:sz w:val="16"/>
              <w:szCs w:val="16"/>
            </w:rPr>
            <w:t xml:space="preserve"> 2023</w:t>
          </w:r>
          <w:r w:rsidR="00476AA0" w:rsidRPr="004F5510">
            <w:rPr>
              <w:noProof/>
              <w:color w:val="093C61"/>
            </w:rPr>
            <w:t xml:space="preserve"> </w:t>
          </w:r>
        </w:p>
      </w:tc>
    </w:tr>
  </w:tbl>
  <w:p w:rsidR="007E4F87" w:rsidRDefault="007E4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E26AD"/>
    <w:multiLevelType w:val="hybridMultilevel"/>
    <w:tmpl w:val="3FB6BCB2"/>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07C04"/>
    <w:rsid w:val="00012D90"/>
    <w:rsid w:val="000141C9"/>
    <w:rsid w:val="000254EC"/>
    <w:rsid w:val="000442D7"/>
    <w:rsid w:val="00050753"/>
    <w:rsid w:val="00067122"/>
    <w:rsid w:val="00071866"/>
    <w:rsid w:val="000A7D66"/>
    <w:rsid w:val="000B2D64"/>
    <w:rsid w:val="000C18EC"/>
    <w:rsid w:val="000C52D6"/>
    <w:rsid w:val="000D3FCF"/>
    <w:rsid w:val="000F0628"/>
    <w:rsid w:val="000F1647"/>
    <w:rsid w:val="00140648"/>
    <w:rsid w:val="00145F0E"/>
    <w:rsid w:val="001624D5"/>
    <w:rsid w:val="00184F01"/>
    <w:rsid w:val="00186C70"/>
    <w:rsid w:val="001918B6"/>
    <w:rsid w:val="00192C76"/>
    <w:rsid w:val="00197943"/>
    <w:rsid w:val="001C0E9D"/>
    <w:rsid w:val="001C364E"/>
    <w:rsid w:val="001C6FE8"/>
    <w:rsid w:val="00201598"/>
    <w:rsid w:val="00210734"/>
    <w:rsid w:val="002122D9"/>
    <w:rsid w:val="002206C7"/>
    <w:rsid w:val="00237BF6"/>
    <w:rsid w:val="00244F12"/>
    <w:rsid w:val="00247B14"/>
    <w:rsid w:val="002625A4"/>
    <w:rsid w:val="0026318D"/>
    <w:rsid w:val="00284D32"/>
    <w:rsid w:val="002A1349"/>
    <w:rsid w:val="002B3465"/>
    <w:rsid w:val="002C3897"/>
    <w:rsid w:val="002D532A"/>
    <w:rsid w:val="002E09E1"/>
    <w:rsid w:val="002F4CA2"/>
    <w:rsid w:val="00304F11"/>
    <w:rsid w:val="003221CA"/>
    <w:rsid w:val="00344F54"/>
    <w:rsid w:val="003609F4"/>
    <w:rsid w:val="0036398A"/>
    <w:rsid w:val="0038224B"/>
    <w:rsid w:val="003B4E9A"/>
    <w:rsid w:val="003E43EF"/>
    <w:rsid w:val="003F2BAB"/>
    <w:rsid w:val="00400199"/>
    <w:rsid w:val="00421E9F"/>
    <w:rsid w:val="00427753"/>
    <w:rsid w:val="00472381"/>
    <w:rsid w:val="00476AA0"/>
    <w:rsid w:val="00477011"/>
    <w:rsid w:val="00496618"/>
    <w:rsid w:val="004A3769"/>
    <w:rsid w:val="004C398C"/>
    <w:rsid w:val="004E1F09"/>
    <w:rsid w:val="004E25C3"/>
    <w:rsid w:val="004F5510"/>
    <w:rsid w:val="004F64F9"/>
    <w:rsid w:val="005035C3"/>
    <w:rsid w:val="00521035"/>
    <w:rsid w:val="005335EB"/>
    <w:rsid w:val="005506FE"/>
    <w:rsid w:val="00551375"/>
    <w:rsid w:val="00560469"/>
    <w:rsid w:val="00565C66"/>
    <w:rsid w:val="005820ED"/>
    <w:rsid w:val="0059670A"/>
    <w:rsid w:val="005B2F1C"/>
    <w:rsid w:val="005B575A"/>
    <w:rsid w:val="005C414A"/>
    <w:rsid w:val="005E567B"/>
    <w:rsid w:val="00613F4F"/>
    <w:rsid w:val="006340EB"/>
    <w:rsid w:val="00680B5B"/>
    <w:rsid w:val="00684491"/>
    <w:rsid w:val="00685C9F"/>
    <w:rsid w:val="006874E1"/>
    <w:rsid w:val="006918F3"/>
    <w:rsid w:val="006B2130"/>
    <w:rsid w:val="006B2A8F"/>
    <w:rsid w:val="006B3978"/>
    <w:rsid w:val="006B726E"/>
    <w:rsid w:val="006D2DC3"/>
    <w:rsid w:val="006E1A2C"/>
    <w:rsid w:val="006E4307"/>
    <w:rsid w:val="006E6928"/>
    <w:rsid w:val="007026B5"/>
    <w:rsid w:val="00717843"/>
    <w:rsid w:val="007255C6"/>
    <w:rsid w:val="00732B88"/>
    <w:rsid w:val="00746D97"/>
    <w:rsid w:val="00747DCC"/>
    <w:rsid w:val="007500CE"/>
    <w:rsid w:val="0075214A"/>
    <w:rsid w:val="0076365E"/>
    <w:rsid w:val="00773E2A"/>
    <w:rsid w:val="00773F74"/>
    <w:rsid w:val="00776EA7"/>
    <w:rsid w:val="00777AA2"/>
    <w:rsid w:val="00777D45"/>
    <w:rsid w:val="00785BC5"/>
    <w:rsid w:val="00793AB6"/>
    <w:rsid w:val="00794F52"/>
    <w:rsid w:val="00795EB9"/>
    <w:rsid w:val="007B108E"/>
    <w:rsid w:val="007D35C5"/>
    <w:rsid w:val="007E4F87"/>
    <w:rsid w:val="00816186"/>
    <w:rsid w:val="00826B22"/>
    <w:rsid w:val="008512DB"/>
    <w:rsid w:val="008553FE"/>
    <w:rsid w:val="0086636E"/>
    <w:rsid w:val="008949A6"/>
    <w:rsid w:val="008A63FF"/>
    <w:rsid w:val="008C67E4"/>
    <w:rsid w:val="008E074B"/>
    <w:rsid w:val="008E4D06"/>
    <w:rsid w:val="008F1730"/>
    <w:rsid w:val="008F17E6"/>
    <w:rsid w:val="00907748"/>
    <w:rsid w:val="009110D2"/>
    <w:rsid w:val="009867DB"/>
    <w:rsid w:val="009918EB"/>
    <w:rsid w:val="009A5F46"/>
    <w:rsid w:val="009C0D9A"/>
    <w:rsid w:val="00A11FA2"/>
    <w:rsid w:val="00A12765"/>
    <w:rsid w:val="00A275B5"/>
    <w:rsid w:val="00A50B3C"/>
    <w:rsid w:val="00A63D44"/>
    <w:rsid w:val="00A858AA"/>
    <w:rsid w:val="00A91399"/>
    <w:rsid w:val="00AA0DD7"/>
    <w:rsid w:val="00AA2457"/>
    <w:rsid w:val="00AE23B3"/>
    <w:rsid w:val="00AE5C43"/>
    <w:rsid w:val="00B03939"/>
    <w:rsid w:val="00B156C8"/>
    <w:rsid w:val="00B21AD6"/>
    <w:rsid w:val="00B40E60"/>
    <w:rsid w:val="00B574BE"/>
    <w:rsid w:val="00B636BE"/>
    <w:rsid w:val="00B82449"/>
    <w:rsid w:val="00B8793A"/>
    <w:rsid w:val="00BB1FE7"/>
    <w:rsid w:val="00BB545E"/>
    <w:rsid w:val="00C16A2C"/>
    <w:rsid w:val="00C17532"/>
    <w:rsid w:val="00C330AC"/>
    <w:rsid w:val="00C33B3B"/>
    <w:rsid w:val="00C54C55"/>
    <w:rsid w:val="00C655E4"/>
    <w:rsid w:val="00C6790D"/>
    <w:rsid w:val="00C77EB5"/>
    <w:rsid w:val="00C917B1"/>
    <w:rsid w:val="00C9519B"/>
    <w:rsid w:val="00CA7E04"/>
    <w:rsid w:val="00CB3822"/>
    <w:rsid w:val="00CB59DA"/>
    <w:rsid w:val="00CD7A1F"/>
    <w:rsid w:val="00D07BA8"/>
    <w:rsid w:val="00D12FBA"/>
    <w:rsid w:val="00D21D1F"/>
    <w:rsid w:val="00D353F3"/>
    <w:rsid w:val="00D36310"/>
    <w:rsid w:val="00D52444"/>
    <w:rsid w:val="00D64C1E"/>
    <w:rsid w:val="00D77074"/>
    <w:rsid w:val="00D80A5C"/>
    <w:rsid w:val="00D8569E"/>
    <w:rsid w:val="00DB1AFF"/>
    <w:rsid w:val="00DC4BAB"/>
    <w:rsid w:val="00DD7EBC"/>
    <w:rsid w:val="00DF4E68"/>
    <w:rsid w:val="00DF66F8"/>
    <w:rsid w:val="00E119D9"/>
    <w:rsid w:val="00E13768"/>
    <w:rsid w:val="00E1791E"/>
    <w:rsid w:val="00E23CF9"/>
    <w:rsid w:val="00E448D4"/>
    <w:rsid w:val="00E66226"/>
    <w:rsid w:val="00E92F62"/>
    <w:rsid w:val="00E940B3"/>
    <w:rsid w:val="00E954C5"/>
    <w:rsid w:val="00EB2847"/>
    <w:rsid w:val="00F005D9"/>
    <w:rsid w:val="00F00E95"/>
    <w:rsid w:val="00F26FDA"/>
    <w:rsid w:val="00F33C67"/>
    <w:rsid w:val="00F351C6"/>
    <w:rsid w:val="00F41761"/>
    <w:rsid w:val="00F50691"/>
    <w:rsid w:val="00F674CD"/>
    <w:rsid w:val="00F7008D"/>
    <w:rsid w:val="00F73AD3"/>
    <w:rsid w:val="00F8380D"/>
    <w:rsid w:val="00F90FFB"/>
    <w:rsid w:val="00F9197A"/>
    <w:rsid w:val="00F949B8"/>
    <w:rsid w:val="00FA3236"/>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60FEC"/>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6230-7242-4D5F-9BFD-F9C225DF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2023-10-12T05:14:00Z</cp:lastPrinted>
  <dcterms:created xsi:type="dcterms:W3CDTF">2023-10-20T06:27:00Z</dcterms:created>
  <dcterms:modified xsi:type="dcterms:W3CDTF">2023-10-20T06:29:00Z</dcterms:modified>
</cp:coreProperties>
</file>