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8" w:rsidRPr="00DF66F8" w:rsidRDefault="00777AA2" w:rsidP="00785BC5">
      <w:pPr>
        <w:pStyle w:val="Heading1"/>
      </w:pPr>
      <w:r>
        <w:t>SWM-1</w:t>
      </w:r>
      <w:r w:rsidR="00785BC5">
        <w:t>5</w:t>
      </w:r>
      <w:r w:rsidR="0036398A">
        <w:t xml:space="preserve">. </w:t>
      </w:r>
      <w:r w:rsidR="00785BC5" w:rsidRPr="00785BC5">
        <w:t>Trailer Connecting</w:t>
      </w:r>
      <w:r w:rsidR="00AE5C43">
        <w:t xml:space="preserve"> SWMS</w:t>
      </w:r>
    </w:p>
    <w:p w:rsidR="005B575A" w:rsidRPr="004A3769" w:rsidRDefault="00793AB6" w:rsidP="00785BC5">
      <w:pPr>
        <w:pStyle w:val="BodyText"/>
        <w:rPr>
          <w:rFonts w:ascii="Montserrat" w:hAnsi="Montserrat"/>
          <w:b/>
          <w:bCs/>
          <w:color w:val="0064AA"/>
          <w:lang w:val="en-AU"/>
        </w:rPr>
      </w:pPr>
      <w:bookmarkStart w:id="0" w:name="_GoBack"/>
      <w:r>
        <w:rPr>
          <w:noProof/>
          <w:lang w:val="de-LI"/>
        </w:rPr>
        <w:drawing>
          <wp:anchor distT="0" distB="0" distL="114300" distR="114300" simplePos="0" relativeHeight="251658240" behindDoc="0" locked="0" layoutInCell="1" allowOverlap="1" wp14:anchorId="7BB60C30" wp14:editId="11FE870D">
            <wp:simplePos x="0" y="0"/>
            <wp:positionH relativeFrom="margin">
              <wp:align>right</wp:align>
            </wp:positionH>
            <wp:positionV relativeFrom="paragraph">
              <wp:posOffset>9574</wp:posOffset>
            </wp:positionV>
            <wp:extent cx="1282065" cy="961390"/>
            <wp:effectExtent l="0" t="0" r="0" b="0"/>
            <wp:wrapSquare wrapText="bothSides"/>
            <wp:docPr id="1" name="Picture 1" descr="\\Eastmen-d32cceb\el server\Active Files\CurrentBusinesses\Immediate Businesses\Stockland Retirement Villages\Long Island Village\Photos\IM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stmen-d32cceb\el server\Active Files\CurrentBusinesses\Immediate Businesses\Stockland Retirement Villages\Long Island Village\Photos\IMG_222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82065" cy="961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5B575A" w:rsidRPr="005B575A">
        <w:rPr>
          <w:rFonts w:ascii="Montserrat" w:hAnsi="Montserrat"/>
          <w:b/>
          <w:bCs/>
          <w:color w:val="0064AA"/>
        </w:rPr>
        <w:t>ACWA</w:t>
      </w:r>
      <w:r w:rsidR="007255C6">
        <w:rPr>
          <w:rFonts w:ascii="Montserrat" w:hAnsi="Montserrat"/>
          <w:b/>
          <w:bCs/>
          <w:color w:val="0064AA"/>
        </w:rPr>
        <w:t xml:space="preserve">: </w:t>
      </w:r>
      <w:r w:rsidR="00684491" w:rsidRPr="00684491">
        <w:rPr>
          <w:rFonts w:ascii="Montserrat" w:hAnsi="Montserrat"/>
          <w:b/>
          <w:bCs/>
          <w:color w:val="0064AA"/>
        </w:rPr>
        <w:t xml:space="preserve">Safe Work Method – </w:t>
      </w:r>
      <w:r w:rsidR="00785BC5" w:rsidRPr="00785BC5">
        <w:rPr>
          <w:rFonts w:ascii="Montserrat" w:hAnsi="Montserrat"/>
          <w:b/>
          <w:bCs/>
          <w:color w:val="0064AA"/>
        </w:rPr>
        <w:t>Trailer Connecting/Disconnecting</w:t>
      </w:r>
      <w:r w:rsidR="00AE5C43" w:rsidRPr="00AE5C43">
        <w:rPr>
          <w:rFonts w:ascii="Montserrat" w:hAnsi="Montserrat"/>
          <w:b/>
          <w:bCs/>
          <w:color w:val="0064AA"/>
        </w:rPr>
        <w:t xml:space="preserve"> </w:t>
      </w:r>
    </w:p>
    <w:p w:rsidR="00A11FA2" w:rsidRPr="00AE5C43" w:rsidRDefault="00CB3822" w:rsidP="00A11FA2">
      <w:pPr>
        <w:pStyle w:val="BodyText"/>
      </w:pPr>
      <w:r w:rsidRPr="00565C66">
        <w:rPr>
          <w:b/>
          <w:bCs/>
        </w:rPr>
        <w:t>Note:</w:t>
      </w:r>
      <w:r>
        <w:t xml:space="preserve"> </w:t>
      </w:r>
      <w:r w:rsidR="00A11FA2" w:rsidRPr="00A11FA2">
        <w:t xml:space="preserve">This Safe Work Method only provides guidance information and may not necessarily cover all possible hazards and should be used with other references </w:t>
      </w:r>
    </w:p>
    <w:p w:rsidR="00D36310" w:rsidRPr="00565C66" w:rsidRDefault="00CB3822" w:rsidP="00A11FA2">
      <w:pPr>
        <w:pStyle w:val="BodyText"/>
        <w:rPr>
          <w:b/>
          <w:bCs/>
        </w:rPr>
      </w:pPr>
      <w:r w:rsidRPr="00565C66">
        <w:rPr>
          <w:b/>
          <w:bCs/>
        </w:rPr>
        <w:t>Date: August/2023</w:t>
      </w:r>
      <w:r w:rsidR="00D36310" w:rsidRPr="00565C66">
        <w:rPr>
          <w:b/>
          <w:bCs/>
        </w:rPr>
        <w:t xml:space="preserve">.  </w:t>
      </w:r>
    </w:p>
    <w:tbl>
      <w:tblPr>
        <w:tblStyle w:val="TableGrid"/>
        <w:tblW w:w="5000" w:type="pct"/>
        <w:tblLook w:val="01E0" w:firstRow="1" w:lastRow="1" w:firstColumn="1" w:lastColumn="1" w:noHBand="0" w:noVBand="0"/>
      </w:tblPr>
      <w:tblGrid>
        <w:gridCol w:w="4676"/>
        <w:gridCol w:w="4340"/>
      </w:tblGrid>
      <w:tr w:rsidR="00C9519B" w:rsidRPr="00C9519B" w:rsidTr="00F26FDA">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2"/>
          </w:tcPr>
          <w:p w:rsidR="00C9519B" w:rsidRPr="00C9519B" w:rsidRDefault="00C9519B" w:rsidP="00923EC0">
            <w:pPr>
              <w:jc w:val="center"/>
              <w:rPr>
                <w:b w:val="0"/>
                <w:sz w:val="24"/>
                <w:szCs w:val="24"/>
              </w:rPr>
            </w:pPr>
            <w:r w:rsidRPr="00C9519B">
              <w:rPr>
                <w:sz w:val="24"/>
                <w:szCs w:val="24"/>
              </w:rPr>
              <w:t>Risk Assessment</w:t>
            </w:r>
          </w:p>
        </w:tc>
      </w:tr>
      <w:tr w:rsidR="00C9519B" w:rsidRPr="00C9519B" w:rsidTr="008512DB">
        <w:trPr>
          <w:trHeight w:val="144"/>
        </w:trPr>
        <w:tc>
          <w:tcPr>
            <w:tcW w:w="2593" w:type="pct"/>
          </w:tcPr>
          <w:p w:rsidR="00C9519B" w:rsidRPr="00C9519B" w:rsidRDefault="00C9519B" w:rsidP="00923EC0">
            <w:pPr>
              <w:jc w:val="center"/>
              <w:rPr>
                <w:b/>
                <w:sz w:val="24"/>
                <w:szCs w:val="24"/>
              </w:rPr>
            </w:pPr>
            <w:r w:rsidRPr="00C9519B">
              <w:rPr>
                <w:b/>
                <w:sz w:val="24"/>
                <w:szCs w:val="24"/>
              </w:rPr>
              <w:t xml:space="preserve">Hazard </w:t>
            </w:r>
          </w:p>
        </w:tc>
        <w:tc>
          <w:tcPr>
            <w:tcW w:w="2407" w:type="pct"/>
          </w:tcPr>
          <w:p w:rsidR="00C9519B" w:rsidRPr="00C9519B" w:rsidRDefault="00C9519B" w:rsidP="00923EC0">
            <w:pPr>
              <w:jc w:val="center"/>
              <w:rPr>
                <w:b/>
                <w:sz w:val="24"/>
                <w:szCs w:val="24"/>
              </w:rPr>
            </w:pPr>
            <w:r w:rsidRPr="00C9519B">
              <w:rPr>
                <w:b/>
                <w:sz w:val="24"/>
                <w:szCs w:val="24"/>
              </w:rPr>
              <w:t>Risk</w:t>
            </w:r>
          </w:p>
        </w:tc>
      </w:tr>
      <w:tr w:rsidR="00785BC5" w:rsidRPr="00F73AD3" w:rsidTr="008512DB">
        <w:trPr>
          <w:trHeight w:val="299"/>
        </w:trPr>
        <w:tc>
          <w:tcPr>
            <w:tcW w:w="2593" w:type="pct"/>
          </w:tcPr>
          <w:p w:rsidR="00785BC5" w:rsidRDefault="00785BC5" w:rsidP="00785BC5">
            <w:pPr>
              <w:spacing w:line="300" w:lineRule="exact"/>
            </w:pPr>
            <w:r>
              <w:t>Moving equipment/vehicles</w:t>
            </w:r>
          </w:p>
        </w:tc>
        <w:tc>
          <w:tcPr>
            <w:tcW w:w="2407" w:type="pct"/>
          </w:tcPr>
          <w:p w:rsidR="00785BC5" w:rsidRPr="00785BC5" w:rsidRDefault="00785BC5" w:rsidP="00045EAA">
            <w:pPr>
              <w:numPr>
                <w:ilvl w:val="0"/>
                <w:numId w:val="1"/>
              </w:numPr>
              <w:tabs>
                <w:tab w:val="center" w:pos="4153"/>
                <w:tab w:val="right" w:pos="8306"/>
              </w:tabs>
              <w:rPr>
                <w:lang w:val="en-US"/>
              </w:rPr>
            </w:pPr>
            <w:r w:rsidRPr="00785BC5">
              <w:rPr>
                <w:lang w:val="en-US"/>
              </w:rPr>
              <w:t>Injury from contact with moving equipment/vehicles</w:t>
            </w:r>
          </w:p>
        </w:tc>
      </w:tr>
      <w:tr w:rsidR="00785BC5" w:rsidRPr="00F73AD3" w:rsidTr="008512DB">
        <w:trPr>
          <w:trHeight w:val="299"/>
        </w:trPr>
        <w:tc>
          <w:tcPr>
            <w:tcW w:w="2593" w:type="pct"/>
          </w:tcPr>
          <w:p w:rsidR="00785BC5" w:rsidRDefault="00785BC5" w:rsidP="00785BC5">
            <w:pPr>
              <w:spacing w:line="300" w:lineRule="exact"/>
            </w:pPr>
            <w:r>
              <w:t>Pinch points</w:t>
            </w:r>
          </w:p>
        </w:tc>
        <w:tc>
          <w:tcPr>
            <w:tcW w:w="2407" w:type="pct"/>
          </w:tcPr>
          <w:p w:rsidR="00785BC5" w:rsidRPr="009867DB" w:rsidRDefault="00785BC5" w:rsidP="00785BC5">
            <w:pPr>
              <w:numPr>
                <w:ilvl w:val="0"/>
                <w:numId w:val="1"/>
              </w:numPr>
              <w:tabs>
                <w:tab w:val="center" w:pos="4153"/>
                <w:tab w:val="right" w:pos="8306"/>
              </w:tabs>
              <w:rPr>
                <w:lang w:val="en-US"/>
              </w:rPr>
            </w:pPr>
            <w:r>
              <w:t>Crushing injury</w:t>
            </w:r>
          </w:p>
        </w:tc>
      </w:tr>
    </w:tbl>
    <w:p w:rsidR="006918F3" w:rsidRPr="006918F3" w:rsidRDefault="00785BC5" w:rsidP="006918F3">
      <w:pPr>
        <w:pStyle w:val="Heading2"/>
        <w:rPr>
          <w:lang w:val="en-AU"/>
        </w:rPr>
      </w:pPr>
      <w:r w:rsidRPr="00785BC5">
        <w:rPr>
          <w:lang w:val="en-AU"/>
        </w:rPr>
        <w:t>Connecting</w:t>
      </w:r>
    </w:p>
    <w:p w:rsidR="0075214A" w:rsidRDefault="0075214A" w:rsidP="0075214A">
      <w:pPr>
        <w:pStyle w:val="ListParagraph"/>
      </w:pPr>
      <w:r>
        <w:t>Perform a visual check to ensure no people are between the trailer and the vehicle,</w:t>
      </w:r>
    </w:p>
    <w:p w:rsidR="0075214A" w:rsidRDefault="0075214A" w:rsidP="0075214A">
      <w:pPr>
        <w:pStyle w:val="ListParagraph"/>
      </w:pPr>
      <w:r>
        <w:t xml:space="preserve">Reverse with caution at a slow speed, </w:t>
      </w:r>
    </w:p>
    <w:p w:rsidR="0075214A" w:rsidRDefault="0075214A" w:rsidP="0075214A">
      <w:pPr>
        <w:pStyle w:val="ListParagraph"/>
      </w:pPr>
      <w:r>
        <w:t xml:space="preserve">Exit the vehicle and check alignment and height in preparation for connection. Align the ball pull with the coupling on the trailer pull. If necessary, use the jockey wheel to adjust the height of the trailer pull, </w:t>
      </w:r>
    </w:p>
    <w:p w:rsidR="0075214A" w:rsidRDefault="0075214A" w:rsidP="0075214A">
      <w:pPr>
        <w:pStyle w:val="ListParagraph"/>
      </w:pPr>
      <w:r>
        <w:t>Ensure the ball is the correct size to suit the trailer pull,</w:t>
      </w:r>
    </w:p>
    <w:p w:rsidR="0075214A" w:rsidRDefault="0075214A" w:rsidP="0075214A">
      <w:pPr>
        <w:pStyle w:val="ListParagraph"/>
      </w:pPr>
      <w:r>
        <w:t xml:space="preserve">Slowly reverse the vehicle until the ball and coupling are closely aligned. Use the parking brake to secure the vehicle in position. Seek assistance when precisely aligning the ball and coupling, particularly if the jockey wheel is difficult to </w:t>
      </w:r>
      <w:proofErr w:type="spellStart"/>
      <w:r>
        <w:t>manoeuvre</w:t>
      </w:r>
      <w:proofErr w:type="spellEnd"/>
      <w:r>
        <w:t>. If applicable, adjust wheel chocks to allow sufficient movement,</w:t>
      </w:r>
    </w:p>
    <w:p w:rsidR="0075214A" w:rsidRDefault="0075214A" w:rsidP="0075214A">
      <w:pPr>
        <w:pStyle w:val="ListParagraph"/>
      </w:pPr>
      <w:r>
        <w:t>Use the jockey wheel to lower the coupling onto the ball. Keep hands and fingers clear as coupling connects with the ball,</w:t>
      </w:r>
    </w:p>
    <w:p w:rsidR="0075214A" w:rsidRDefault="0075214A" w:rsidP="0075214A">
      <w:pPr>
        <w:pStyle w:val="ListParagraph"/>
      </w:pPr>
      <w:r>
        <w:t>Ensure the ball, coupling and safety chains are secured, including safety latch,</w:t>
      </w:r>
    </w:p>
    <w:p w:rsidR="006918F3" w:rsidRPr="006918F3" w:rsidRDefault="0075214A" w:rsidP="0075214A">
      <w:pPr>
        <w:pStyle w:val="ListParagraph"/>
      </w:pPr>
      <w:r>
        <w:t>Connect the electric system and brakes if applicable. Complete a visual check that the l</w:t>
      </w:r>
      <w:r>
        <w:t>ights are functioning correctly</w:t>
      </w:r>
      <w:r w:rsidR="00AA2457">
        <w:t>.</w:t>
      </w:r>
    </w:p>
    <w:p w:rsidR="006918F3" w:rsidRPr="006918F3" w:rsidRDefault="0075214A" w:rsidP="006918F3">
      <w:pPr>
        <w:pStyle w:val="Heading2"/>
        <w:rPr>
          <w:lang w:val="en-AU"/>
        </w:rPr>
      </w:pPr>
      <w:r w:rsidRPr="0075214A">
        <w:rPr>
          <w:lang w:val="en-AU"/>
        </w:rPr>
        <w:t>Disconnecting</w:t>
      </w:r>
    </w:p>
    <w:p w:rsidR="0075214A" w:rsidRDefault="0075214A" w:rsidP="0075214A">
      <w:pPr>
        <w:pStyle w:val="ListParagraph"/>
      </w:pPr>
      <w:r>
        <w:t>Position the trailer in preparation for unhooking. Take care if reversing to ensure no people are behind the vehicle and trailer,</w:t>
      </w:r>
    </w:p>
    <w:p w:rsidR="0075214A" w:rsidRDefault="0075214A" w:rsidP="0075214A">
      <w:pPr>
        <w:pStyle w:val="ListParagraph"/>
      </w:pPr>
      <w:r>
        <w:t>Position the trailer in a suitable area. Ensure the ground is flat or level to prevent the trailer from moving. Use wheel chocks when necessary,</w:t>
      </w:r>
    </w:p>
    <w:p w:rsidR="0075214A" w:rsidRDefault="0075214A" w:rsidP="0075214A">
      <w:pPr>
        <w:pStyle w:val="ListParagraph"/>
      </w:pPr>
      <w:r>
        <w:t>Release safety latch and chains in preparation for uncoupling,</w:t>
      </w:r>
    </w:p>
    <w:p w:rsidR="0075214A" w:rsidRDefault="0075214A" w:rsidP="0075214A">
      <w:pPr>
        <w:pStyle w:val="ListParagraph"/>
      </w:pPr>
      <w:r>
        <w:t>Wind down the jockey wheel to take the weight of the trailer. Continue winding until the coupling lifts clear of the ball. Be aware that the trailer may move during this process,</w:t>
      </w:r>
    </w:p>
    <w:p w:rsidR="0075214A" w:rsidRDefault="0075214A" w:rsidP="0075214A">
      <w:pPr>
        <w:pStyle w:val="ListParagraph"/>
      </w:pPr>
      <w:r>
        <w:t>Disconnect electric systems and brakes if appropriate,</w:t>
      </w:r>
    </w:p>
    <w:p w:rsidR="008553FE" w:rsidRDefault="0075214A" w:rsidP="0075214A">
      <w:pPr>
        <w:pStyle w:val="ListParagraph"/>
      </w:pPr>
      <w:r>
        <w:t>All equipment, including couplings, wheels, air, hydraulic and electric systems, should be periodically serviced and inspected by a suitably experienced person.</w:t>
      </w:r>
    </w:p>
    <w:p w:rsidR="0075214A" w:rsidRPr="0075214A" w:rsidRDefault="0075214A" w:rsidP="0075214A">
      <w:pPr>
        <w:pStyle w:val="Heading2"/>
        <w:rPr>
          <w:lang w:val="en-AU"/>
        </w:rPr>
      </w:pPr>
      <w:r w:rsidRPr="0075214A">
        <w:rPr>
          <w:lang w:val="en-AU"/>
        </w:rPr>
        <w:t>Report Faults</w:t>
      </w:r>
    </w:p>
    <w:p w:rsidR="0075214A" w:rsidRPr="0075214A" w:rsidRDefault="0075214A" w:rsidP="0075214A">
      <w:pPr>
        <w:pStyle w:val="ListParagraph"/>
      </w:pPr>
      <w:r w:rsidRPr="0075214A">
        <w:t>Tag Out trailer from service if faulty, so it cannot be used until fixed.</w:t>
      </w:r>
    </w:p>
    <w:sectPr w:rsidR="0075214A" w:rsidRPr="0075214A" w:rsidSect="00476AA0">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AA" w:rsidRDefault="00045EAA" w:rsidP="007E4F87">
      <w:pPr>
        <w:spacing w:after="0" w:line="240" w:lineRule="auto"/>
      </w:pPr>
      <w:r>
        <w:separator/>
      </w:r>
    </w:p>
  </w:endnote>
  <w:endnote w:type="continuationSeparator" w:id="0">
    <w:p w:rsidR="00045EAA" w:rsidRDefault="00045EAA"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2B3465" w:rsidTr="00EB2847">
      <w:tc>
        <w:tcPr>
          <w:tcW w:w="4090" w:type="pct"/>
        </w:tcPr>
        <w:p w:rsidR="00FB2321" w:rsidRPr="002206C7" w:rsidRDefault="00FB2321">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rsidR="00FB2321" w:rsidRPr="002206C7" w:rsidRDefault="002B3465"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793AB6" w:rsidRPr="00793AB6">
            <w:rPr>
              <w:bCs/>
              <w:noProof/>
              <w:color w:val="0064AA"/>
              <w:sz w:val="16"/>
              <w:szCs w:val="16"/>
              <w:lang w:val="en-US"/>
            </w:rPr>
            <w:t>1</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793AB6" w:rsidRPr="00793AB6">
            <w:rPr>
              <w:bCs/>
              <w:noProof/>
              <w:color w:val="0064AA"/>
              <w:sz w:val="16"/>
              <w:szCs w:val="16"/>
              <w:lang w:val="en-US"/>
            </w:rPr>
            <w:t>1</w:t>
          </w:r>
          <w:r w:rsidRPr="002206C7">
            <w:rPr>
              <w:b/>
              <w:bCs/>
              <w:color w:val="0064AA"/>
              <w:sz w:val="16"/>
              <w:szCs w:val="16"/>
              <w:lang w:val="en-US"/>
            </w:rPr>
            <w:fldChar w:fldCharType="end"/>
          </w:r>
        </w:p>
      </w:tc>
    </w:tr>
  </w:tbl>
  <w:p w:rsidR="00DB1AFF" w:rsidRPr="00FB2321" w:rsidRDefault="00DB1AFF">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AA" w:rsidRDefault="00045EAA" w:rsidP="007E4F87">
      <w:pPr>
        <w:spacing w:after="0" w:line="240" w:lineRule="auto"/>
      </w:pPr>
      <w:r>
        <w:separator/>
      </w:r>
    </w:p>
  </w:footnote>
  <w:footnote w:type="continuationSeparator" w:id="0">
    <w:p w:rsidR="00045EAA" w:rsidRDefault="00045EAA"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Pr>
    <w:tblGrid>
      <w:gridCol w:w="9016"/>
    </w:tblGrid>
    <w:tr w:rsidR="00F351C6" w:rsidTr="002206C7">
      <w:tc>
        <w:tcPr>
          <w:tcW w:w="9016" w:type="dxa"/>
        </w:tcPr>
        <w:p w:rsidR="00F351C6" w:rsidRPr="004F5510" w:rsidRDefault="00476AA0" w:rsidP="00F351C6">
          <w:pPr>
            <w:pStyle w:val="Footer"/>
            <w:tabs>
              <w:tab w:val="right" w:pos="9960"/>
            </w:tabs>
            <w:rPr>
              <w:color w:val="093C61"/>
              <w:sz w:val="16"/>
              <w:szCs w:val="16"/>
            </w:rPr>
          </w:pPr>
          <w:r w:rsidRPr="004F5510">
            <w:rPr>
              <w:noProof/>
              <w:color w:val="093C61"/>
            </w:rPr>
            <w:drawing>
              <wp:anchor distT="0" distB="0" distL="114300" distR="114300" simplePos="0" relativeHeight="251658240" behindDoc="0" locked="0" layoutInCell="1" allowOverlap="1" wp14:anchorId="5446F8E9" wp14:editId="41C7DB23">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4F5510">
            <w:rPr>
              <w:color w:val="093C61"/>
              <w:sz w:val="16"/>
              <w:szCs w:val="16"/>
            </w:rPr>
            <w:t>Version: 02</w:t>
          </w:r>
        </w:p>
        <w:p w:rsidR="00F351C6" w:rsidRDefault="007026B5" w:rsidP="00AA2457">
          <w:pPr>
            <w:pStyle w:val="Header"/>
          </w:pPr>
          <w:r>
            <w:rPr>
              <w:color w:val="093C61"/>
              <w:sz w:val="16"/>
              <w:szCs w:val="16"/>
            </w:rPr>
            <w:t xml:space="preserve">Date: </w:t>
          </w:r>
          <w:r w:rsidR="00AA2457">
            <w:rPr>
              <w:color w:val="093C61"/>
              <w:sz w:val="16"/>
              <w:szCs w:val="16"/>
            </w:rPr>
            <w:t>August</w:t>
          </w:r>
          <w:r w:rsidR="00F351C6" w:rsidRPr="004F5510">
            <w:rPr>
              <w:color w:val="093C61"/>
              <w:sz w:val="16"/>
              <w:szCs w:val="16"/>
            </w:rPr>
            <w:t xml:space="preserve"> 2023</w:t>
          </w:r>
          <w:r w:rsidR="00476AA0" w:rsidRPr="004F5510">
            <w:rPr>
              <w:noProof/>
              <w:color w:val="093C61"/>
            </w:rPr>
            <w:t xml:space="preserve"> </w:t>
          </w:r>
        </w:p>
      </w:tc>
    </w:tr>
  </w:tbl>
  <w:p w:rsidR="007E4F87" w:rsidRDefault="007E4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E26AD"/>
    <w:multiLevelType w:val="hybridMultilevel"/>
    <w:tmpl w:val="3FB6BCB2"/>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8C"/>
    <w:rsid w:val="00012D90"/>
    <w:rsid w:val="000141C9"/>
    <w:rsid w:val="000254EC"/>
    <w:rsid w:val="000442D7"/>
    <w:rsid w:val="00045EAA"/>
    <w:rsid w:val="00050753"/>
    <w:rsid w:val="00067122"/>
    <w:rsid w:val="000A7D66"/>
    <w:rsid w:val="000B2D64"/>
    <w:rsid w:val="000C18EC"/>
    <w:rsid w:val="000C52D6"/>
    <w:rsid w:val="000D3FCF"/>
    <w:rsid w:val="000F0628"/>
    <w:rsid w:val="000F1647"/>
    <w:rsid w:val="00140648"/>
    <w:rsid w:val="00145F0E"/>
    <w:rsid w:val="001624D5"/>
    <w:rsid w:val="00184F01"/>
    <w:rsid w:val="00186C70"/>
    <w:rsid w:val="00192C76"/>
    <w:rsid w:val="00197943"/>
    <w:rsid w:val="001C0E9D"/>
    <w:rsid w:val="001C364E"/>
    <w:rsid w:val="001C6FE8"/>
    <w:rsid w:val="00201598"/>
    <w:rsid w:val="00210734"/>
    <w:rsid w:val="002122D9"/>
    <w:rsid w:val="002206C7"/>
    <w:rsid w:val="00237BF6"/>
    <w:rsid w:val="00244F12"/>
    <w:rsid w:val="00247B14"/>
    <w:rsid w:val="002625A4"/>
    <w:rsid w:val="0026318D"/>
    <w:rsid w:val="00284D32"/>
    <w:rsid w:val="002A1349"/>
    <w:rsid w:val="002B3465"/>
    <w:rsid w:val="002C3897"/>
    <w:rsid w:val="002D532A"/>
    <w:rsid w:val="002E09E1"/>
    <w:rsid w:val="002F4CA2"/>
    <w:rsid w:val="00304F11"/>
    <w:rsid w:val="003221CA"/>
    <w:rsid w:val="00344F54"/>
    <w:rsid w:val="003609F4"/>
    <w:rsid w:val="0036398A"/>
    <w:rsid w:val="0038224B"/>
    <w:rsid w:val="003B4E9A"/>
    <w:rsid w:val="003E43EF"/>
    <w:rsid w:val="003F2BAB"/>
    <w:rsid w:val="00400199"/>
    <w:rsid w:val="00421E9F"/>
    <w:rsid w:val="00427753"/>
    <w:rsid w:val="00472381"/>
    <w:rsid w:val="00476AA0"/>
    <w:rsid w:val="00477011"/>
    <w:rsid w:val="00496618"/>
    <w:rsid w:val="004A3769"/>
    <w:rsid w:val="004C398C"/>
    <w:rsid w:val="004E1F09"/>
    <w:rsid w:val="004E25C3"/>
    <w:rsid w:val="004F5510"/>
    <w:rsid w:val="004F64F9"/>
    <w:rsid w:val="005035C3"/>
    <w:rsid w:val="00521035"/>
    <w:rsid w:val="005335EB"/>
    <w:rsid w:val="005506FE"/>
    <w:rsid w:val="00551375"/>
    <w:rsid w:val="00560469"/>
    <w:rsid w:val="00565C66"/>
    <w:rsid w:val="005820ED"/>
    <w:rsid w:val="0059670A"/>
    <w:rsid w:val="005B2F1C"/>
    <w:rsid w:val="005B575A"/>
    <w:rsid w:val="005C414A"/>
    <w:rsid w:val="005E567B"/>
    <w:rsid w:val="00613F4F"/>
    <w:rsid w:val="00680B5B"/>
    <w:rsid w:val="00684491"/>
    <w:rsid w:val="00685C9F"/>
    <w:rsid w:val="006874E1"/>
    <w:rsid w:val="006918F3"/>
    <w:rsid w:val="006B2130"/>
    <w:rsid w:val="006B2A8F"/>
    <w:rsid w:val="006B3978"/>
    <w:rsid w:val="006B726E"/>
    <w:rsid w:val="006D2DC3"/>
    <w:rsid w:val="006E1A2C"/>
    <w:rsid w:val="006E4307"/>
    <w:rsid w:val="006E6928"/>
    <w:rsid w:val="007026B5"/>
    <w:rsid w:val="00717843"/>
    <w:rsid w:val="007255C6"/>
    <w:rsid w:val="00732B88"/>
    <w:rsid w:val="00746D97"/>
    <w:rsid w:val="00747DCC"/>
    <w:rsid w:val="007500CE"/>
    <w:rsid w:val="0075214A"/>
    <w:rsid w:val="0076365E"/>
    <w:rsid w:val="00773E2A"/>
    <w:rsid w:val="00773F74"/>
    <w:rsid w:val="00776EA7"/>
    <w:rsid w:val="00777AA2"/>
    <w:rsid w:val="00777D45"/>
    <w:rsid w:val="00785BC5"/>
    <w:rsid w:val="00793AB6"/>
    <w:rsid w:val="00794F52"/>
    <w:rsid w:val="00795EB9"/>
    <w:rsid w:val="007B108E"/>
    <w:rsid w:val="007D35C5"/>
    <w:rsid w:val="007E4F87"/>
    <w:rsid w:val="00816186"/>
    <w:rsid w:val="00826B22"/>
    <w:rsid w:val="008512DB"/>
    <w:rsid w:val="008553FE"/>
    <w:rsid w:val="0086636E"/>
    <w:rsid w:val="008949A6"/>
    <w:rsid w:val="008A63FF"/>
    <w:rsid w:val="008C67E4"/>
    <w:rsid w:val="008E074B"/>
    <w:rsid w:val="008E4D06"/>
    <w:rsid w:val="008F1730"/>
    <w:rsid w:val="008F17E6"/>
    <w:rsid w:val="00907748"/>
    <w:rsid w:val="009110D2"/>
    <w:rsid w:val="009867DB"/>
    <w:rsid w:val="009918EB"/>
    <w:rsid w:val="009A5F46"/>
    <w:rsid w:val="009C0D9A"/>
    <w:rsid w:val="00A11FA2"/>
    <w:rsid w:val="00A12765"/>
    <w:rsid w:val="00A275B5"/>
    <w:rsid w:val="00A50B3C"/>
    <w:rsid w:val="00A63D44"/>
    <w:rsid w:val="00A858AA"/>
    <w:rsid w:val="00A91399"/>
    <w:rsid w:val="00AA0DD7"/>
    <w:rsid w:val="00AA2457"/>
    <w:rsid w:val="00AE23B3"/>
    <w:rsid w:val="00AE5C43"/>
    <w:rsid w:val="00B03939"/>
    <w:rsid w:val="00B156C8"/>
    <w:rsid w:val="00B21AD6"/>
    <w:rsid w:val="00B40E60"/>
    <w:rsid w:val="00B574BE"/>
    <w:rsid w:val="00B636BE"/>
    <w:rsid w:val="00B82449"/>
    <w:rsid w:val="00B8793A"/>
    <w:rsid w:val="00BB1FE7"/>
    <w:rsid w:val="00BB545E"/>
    <w:rsid w:val="00C16A2C"/>
    <w:rsid w:val="00C17532"/>
    <w:rsid w:val="00C330AC"/>
    <w:rsid w:val="00C33B3B"/>
    <w:rsid w:val="00C54C55"/>
    <w:rsid w:val="00C655E4"/>
    <w:rsid w:val="00C6790D"/>
    <w:rsid w:val="00C77EB5"/>
    <w:rsid w:val="00C917B1"/>
    <w:rsid w:val="00C9519B"/>
    <w:rsid w:val="00CA7E04"/>
    <w:rsid w:val="00CB3822"/>
    <w:rsid w:val="00CB59DA"/>
    <w:rsid w:val="00CD7A1F"/>
    <w:rsid w:val="00D07BA8"/>
    <w:rsid w:val="00D12FBA"/>
    <w:rsid w:val="00D21D1F"/>
    <w:rsid w:val="00D353F3"/>
    <w:rsid w:val="00D36310"/>
    <w:rsid w:val="00D52444"/>
    <w:rsid w:val="00D64C1E"/>
    <w:rsid w:val="00D77074"/>
    <w:rsid w:val="00D80A5C"/>
    <w:rsid w:val="00D8569E"/>
    <w:rsid w:val="00DB1AFF"/>
    <w:rsid w:val="00DC4BAB"/>
    <w:rsid w:val="00DD7EBC"/>
    <w:rsid w:val="00DF4E68"/>
    <w:rsid w:val="00DF66F8"/>
    <w:rsid w:val="00E119D9"/>
    <w:rsid w:val="00E13768"/>
    <w:rsid w:val="00E1791E"/>
    <w:rsid w:val="00E23CF9"/>
    <w:rsid w:val="00E448D4"/>
    <w:rsid w:val="00E66226"/>
    <w:rsid w:val="00E92F62"/>
    <w:rsid w:val="00E940B3"/>
    <w:rsid w:val="00E954C5"/>
    <w:rsid w:val="00EB2847"/>
    <w:rsid w:val="00F005D9"/>
    <w:rsid w:val="00F00E95"/>
    <w:rsid w:val="00F26FDA"/>
    <w:rsid w:val="00F33C67"/>
    <w:rsid w:val="00F351C6"/>
    <w:rsid w:val="00F41761"/>
    <w:rsid w:val="00F50691"/>
    <w:rsid w:val="00F674CD"/>
    <w:rsid w:val="00F7008D"/>
    <w:rsid w:val="00F73AD3"/>
    <w:rsid w:val="00F8380D"/>
    <w:rsid w:val="00F9197A"/>
    <w:rsid w:val="00F949B8"/>
    <w:rsid w:val="00FA3236"/>
    <w:rsid w:val="00FA7929"/>
    <w:rsid w:val="00FB2321"/>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60FEC"/>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0779-7BA5-4ABE-A3BF-6406E6C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2023-10-12T05:14:00Z</cp:lastPrinted>
  <dcterms:created xsi:type="dcterms:W3CDTF">2023-10-20T06:24:00Z</dcterms:created>
  <dcterms:modified xsi:type="dcterms:W3CDTF">2023-10-20T06:26:00Z</dcterms:modified>
</cp:coreProperties>
</file>