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777AA2" w:rsidP="00F73AD3">
      <w:pPr>
        <w:pStyle w:val="Heading1"/>
      </w:pPr>
      <w:r>
        <w:t>SWM-1</w:t>
      </w:r>
      <w:bookmarkStart w:id="0" w:name="_GoBack"/>
      <w:bookmarkEnd w:id="0"/>
      <w:r w:rsidR="00F73AD3">
        <w:t>3</w:t>
      </w:r>
      <w:r w:rsidR="0036398A">
        <w:t xml:space="preserve">. </w:t>
      </w:r>
      <w:r w:rsidR="006918F3">
        <w:t xml:space="preserve">Power </w:t>
      </w:r>
      <w:r w:rsidR="00F73AD3">
        <w:t>Tools</w:t>
      </w:r>
      <w:r w:rsidR="00AE5C43">
        <w:t xml:space="preserve"> SWMS</w:t>
      </w:r>
    </w:p>
    <w:p w:rsidR="005B575A" w:rsidRPr="004A3769" w:rsidRDefault="003221CA" w:rsidP="00F73AD3">
      <w:pPr>
        <w:pStyle w:val="BodyText"/>
        <w:rPr>
          <w:rFonts w:ascii="Montserrat" w:hAnsi="Montserrat"/>
          <w:b/>
          <w:bCs/>
          <w:color w:val="0064AA"/>
          <w:lang w:val="en-AU"/>
        </w:rPr>
      </w:pPr>
      <w:r w:rsidRPr="008074FB">
        <w:rPr>
          <w:noProof/>
          <w:lang w:val="de-L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78585" cy="1081405"/>
            <wp:effectExtent l="0" t="0" r="0" b="4445"/>
            <wp:wrapSquare wrapText="bothSides"/>
            <wp:docPr id="2" name="Picture 1" descr="\\Eastmen-d32cceb\el server\Active Files\CurrentBusinesses\Immediate Businesses\Stockland Retirement Villages\Long Island Village\Photos\IMG_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\\Eastmen-d32cceb\el server\Active Files\CurrentBusinesses\Immediate Businesses\Stockland Retirement Villages\Long Island Village\Photos\IMG_2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5A" w:rsidRPr="005B575A">
        <w:rPr>
          <w:rFonts w:ascii="Montserrat" w:hAnsi="Montserrat"/>
          <w:b/>
          <w:bCs/>
          <w:color w:val="0064AA"/>
        </w:rPr>
        <w:t>ACWA</w:t>
      </w:r>
      <w:r w:rsidR="007255C6">
        <w:rPr>
          <w:rFonts w:ascii="Montserrat" w:hAnsi="Montserrat"/>
          <w:b/>
          <w:bCs/>
          <w:color w:val="0064AA"/>
        </w:rPr>
        <w:t xml:space="preserve">: </w:t>
      </w:r>
      <w:r w:rsidR="00684491" w:rsidRPr="00684491">
        <w:rPr>
          <w:rFonts w:ascii="Montserrat" w:hAnsi="Montserrat"/>
          <w:b/>
          <w:bCs/>
          <w:color w:val="0064AA"/>
        </w:rPr>
        <w:t xml:space="preserve">Safe Work Method – </w:t>
      </w:r>
      <w:r w:rsidR="00F73AD3" w:rsidRPr="00F73AD3">
        <w:rPr>
          <w:rFonts w:ascii="Montserrat" w:hAnsi="Montserrat"/>
          <w:b/>
          <w:bCs/>
          <w:color w:val="0064AA"/>
        </w:rPr>
        <w:t>Power Tools</w:t>
      </w:r>
      <w:r w:rsidR="00AE5C43" w:rsidRPr="00AE5C43">
        <w:rPr>
          <w:rFonts w:ascii="Montserrat" w:hAnsi="Montserrat"/>
          <w:b/>
          <w:bCs/>
          <w:color w:val="0064AA"/>
        </w:rPr>
        <w:t xml:space="preserve"> </w:t>
      </w:r>
    </w:p>
    <w:p w:rsidR="00A11FA2" w:rsidRPr="00AE5C43" w:rsidRDefault="00CB3822" w:rsidP="00A11FA2">
      <w:pPr>
        <w:pStyle w:val="BodyText"/>
      </w:pPr>
      <w:r w:rsidRPr="00565C66">
        <w:rPr>
          <w:b/>
          <w:bCs/>
        </w:rPr>
        <w:t>Note:</w:t>
      </w:r>
      <w:r>
        <w:t xml:space="preserve"> </w:t>
      </w:r>
      <w:r w:rsidR="00A11FA2" w:rsidRPr="00A11FA2">
        <w:t xml:space="preserve">This Safe Work Method only provides guidance information and may not necessarily cover all possible hazards and should be used with other references </w:t>
      </w:r>
    </w:p>
    <w:p w:rsidR="00D36310" w:rsidRPr="00565C66" w:rsidRDefault="00CB3822" w:rsidP="00A11FA2">
      <w:pPr>
        <w:pStyle w:val="BodyText"/>
        <w:rPr>
          <w:b/>
          <w:bCs/>
        </w:rPr>
      </w:pPr>
      <w:r w:rsidRPr="00565C66">
        <w:rPr>
          <w:b/>
          <w:bCs/>
        </w:rPr>
        <w:t>Date: August/2023</w:t>
      </w:r>
      <w:r w:rsidR="00D36310" w:rsidRPr="00565C66">
        <w:rPr>
          <w:b/>
          <w:bCs/>
        </w:rPr>
        <w:t xml:space="preserve">. 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676"/>
        <w:gridCol w:w="4340"/>
      </w:tblGrid>
      <w:tr w:rsidR="00C9519B" w:rsidRPr="00C9519B" w:rsidTr="00F2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000" w:type="pct"/>
            <w:gridSpan w:val="2"/>
          </w:tcPr>
          <w:p w:rsidR="00C9519B" w:rsidRPr="00C9519B" w:rsidRDefault="00C9519B" w:rsidP="00923EC0">
            <w:pPr>
              <w:jc w:val="center"/>
              <w:rPr>
                <w:b w:val="0"/>
                <w:sz w:val="24"/>
                <w:szCs w:val="24"/>
              </w:rPr>
            </w:pPr>
            <w:r w:rsidRPr="00C9519B">
              <w:rPr>
                <w:sz w:val="24"/>
                <w:szCs w:val="24"/>
              </w:rPr>
              <w:t>Risk Assessment</w:t>
            </w:r>
          </w:p>
        </w:tc>
      </w:tr>
      <w:tr w:rsidR="00C9519B" w:rsidRPr="00C9519B" w:rsidTr="008512DB">
        <w:trPr>
          <w:trHeight w:val="144"/>
        </w:trPr>
        <w:tc>
          <w:tcPr>
            <w:tcW w:w="2593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 xml:space="preserve">Hazard </w:t>
            </w:r>
          </w:p>
        </w:tc>
        <w:tc>
          <w:tcPr>
            <w:tcW w:w="2407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>Risk</w:t>
            </w:r>
          </w:p>
        </w:tc>
      </w:tr>
      <w:tr w:rsidR="00F73AD3" w:rsidRPr="00F73AD3" w:rsidTr="008512DB">
        <w:trPr>
          <w:trHeight w:val="299"/>
        </w:trPr>
        <w:tc>
          <w:tcPr>
            <w:tcW w:w="2593" w:type="pct"/>
          </w:tcPr>
          <w:p w:rsidR="00F73AD3" w:rsidRPr="00954F4E" w:rsidRDefault="00F73AD3" w:rsidP="00F73AD3">
            <w:pPr>
              <w:spacing w:line="300" w:lineRule="exact"/>
            </w:pPr>
            <w:r>
              <w:t>Moving components</w:t>
            </w:r>
          </w:p>
        </w:tc>
        <w:tc>
          <w:tcPr>
            <w:tcW w:w="2407" w:type="pct"/>
          </w:tcPr>
          <w:p w:rsidR="00F73AD3" w:rsidRPr="00F73AD3" w:rsidRDefault="00F73AD3" w:rsidP="00F767A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73AD3">
              <w:rPr>
                <w:lang w:val="en-US"/>
              </w:rPr>
              <w:t>Cutting</w:t>
            </w:r>
          </w:p>
          <w:p w:rsidR="00F73AD3" w:rsidRPr="00F73AD3" w:rsidRDefault="00F73AD3" w:rsidP="00F767A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73AD3">
              <w:rPr>
                <w:lang w:val="en-US"/>
              </w:rPr>
              <w:t>Injury from contact with tool</w:t>
            </w:r>
          </w:p>
        </w:tc>
      </w:tr>
      <w:tr w:rsidR="00F73AD3" w:rsidRPr="00565C66" w:rsidTr="008512DB">
        <w:trPr>
          <w:trHeight w:val="299"/>
        </w:trPr>
        <w:tc>
          <w:tcPr>
            <w:tcW w:w="2593" w:type="pct"/>
          </w:tcPr>
          <w:p w:rsidR="00F73AD3" w:rsidRDefault="00F73AD3" w:rsidP="00F73AD3">
            <w:pPr>
              <w:spacing w:line="300" w:lineRule="exact"/>
            </w:pPr>
            <w:r>
              <w:t>Flying particles/objects</w:t>
            </w:r>
          </w:p>
        </w:tc>
        <w:tc>
          <w:tcPr>
            <w:tcW w:w="2407" w:type="pct"/>
          </w:tcPr>
          <w:p w:rsidR="00F73AD3" w:rsidRPr="00F73AD3" w:rsidRDefault="00F73AD3" w:rsidP="00F767A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73AD3">
              <w:rPr>
                <w:lang w:val="en-US"/>
              </w:rPr>
              <w:t>Contact with particles/objects</w:t>
            </w:r>
          </w:p>
        </w:tc>
      </w:tr>
      <w:tr w:rsidR="00F73AD3" w:rsidRPr="006918F3" w:rsidTr="008512DB">
        <w:trPr>
          <w:trHeight w:val="299"/>
        </w:trPr>
        <w:tc>
          <w:tcPr>
            <w:tcW w:w="2593" w:type="pct"/>
          </w:tcPr>
          <w:p w:rsidR="00F73AD3" w:rsidRDefault="00F73AD3" w:rsidP="00F73AD3">
            <w:pPr>
              <w:spacing w:line="300" w:lineRule="exact"/>
            </w:pPr>
            <w:r>
              <w:t>Electrical</w:t>
            </w:r>
          </w:p>
        </w:tc>
        <w:tc>
          <w:tcPr>
            <w:tcW w:w="2407" w:type="pct"/>
          </w:tcPr>
          <w:p w:rsidR="00F73AD3" w:rsidRPr="00F73AD3" w:rsidRDefault="00F73AD3" w:rsidP="00F767A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73AD3">
              <w:rPr>
                <w:lang w:val="en-US"/>
              </w:rPr>
              <w:t>Electrocution</w:t>
            </w:r>
          </w:p>
        </w:tc>
      </w:tr>
      <w:tr w:rsidR="00F73AD3" w:rsidRPr="00565C66" w:rsidTr="008512DB">
        <w:trPr>
          <w:trHeight w:val="299"/>
        </w:trPr>
        <w:tc>
          <w:tcPr>
            <w:tcW w:w="2593" w:type="pct"/>
          </w:tcPr>
          <w:p w:rsidR="00F73AD3" w:rsidRDefault="00F73AD3" w:rsidP="00F73AD3">
            <w:pPr>
              <w:spacing w:line="300" w:lineRule="exact"/>
            </w:pPr>
            <w:r>
              <w:t>Manual handling</w:t>
            </w:r>
          </w:p>
        </w:tc>
        <w:tc>
          <w:tcPr>
            <w:tcW w:w="2407" w:type="pct"/>
          </w:tcPr>
          <w:p w:rsidR="00F73AD3" w:rsidRPr="00F73AD3" w:rsidRDefault="00F73AD3" w:rsidP="00F767A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73AD3">
              <w:rPr>
                <w:lang w:val="en-US"/>
              </w:rPr>
              <w:t>Musculoskeletal injury</w:t>
            </w:r>
          </w:p>
        </w:tc>
      </w:tr>
    </w:tbl>
    <w:p w:rsidR="006918F3" w:rsidRPr="006918F3" w:rsidRDefault="006918F3" w:rsidP="006918F3">
      <w:pPr>
        <w:pStyle w:val="Heading2"/>
        <w:rPr>
          <w:lang w:val="en-AU"/>
        </w:rPr>
      </w:pPr>
      <w:r w:rsidRPr="006918F3">
        <w:rPr>
          <w:lang w:val="en-AU"/>
        </w:rPr>
        <w:t>Pre-Check</w:t>
      </w:r>
    </w:p>
    <w:p w:rsidR="008553FE" w:rsidRDefault="008553FE" w:rsidP="008553FE">
      <w:pPr>
        <w:pStyle w:val="ListParagraph"/>
      </w:pPr>
      <w:r>
        <w:t>Check that the power cord has a current electrical test tag,</w:t>
      </w:r>
    </w:p>
    <w:p w:rsidR="008553FE" w:rsidRDefault="008553FE" w:rsidP="008553FE">
      <w:pPr>
        <w:pStyle w:val="ListParagraph"/>
      </w:pPr>
      <w:r>
        <w:t>Ensure power is directed through an ELCB/RCD at the meter box or power outlet,</w:t>
      </w:r>
    </w:p>
    <w:p w:rsidR="008553FE" w:rsidRDefault="008553FE" w:rsidP="008553FE">
      <w:pPr>
        <w:pStyle w:val="ListParagraph"/>
      </w:pPr>
      <w:r>
        <w:t>If the ELCB/RCD trips during power tool operation, always determine the cause and have it rectified prior to continuing work,</w:t>
      </w:r>
    </w:p>
    <w:p w:rsidR="008553FE" w:rsidRDefault="008553FE" w:rsidP="008553FE">
      <w:pPr>
        <w:pStyle w:val="ListParagraph"/>
      </w:pPr>
      <w:r>
        <w:t xml:space="preserve">Inspect the tool for frayed cords, </w:t>
      </w:r>
      <w:proofErr w:type="spellStart"/>
      <w:r>
        <w:t>loose</w:t>
      </w:r>
      <w:proofErr w:type="spellEnd"/>
      <w:r>
        <w:t xml:space="preserve"> or broken switches, and other obvious problems. Tools that fail this inspection must not be used,</w:t>
      </w:r>
    </w:p>
    <w:p w:rsidR="008553FE" w:rsidRDefault="008553FE" w:rsidP="008553FE">
      <w:pPr>
        <w:pStyle w:val="ListParagraph"/>
      </w:pPr>
      <w:r>
        <w:t>Check that any guarding is securely in place,</w:t>
      </w:r>
    </w:p>
    <w:p w:rsidR="008553FE" w:rsidRDefault="008553FE" w:rsidP="008553FE">
      <w:pPr>
        <w:pStyle w:val="ListParagraph"/>
      </w:pPr>
      <w:r>
        <w:t>Do not use power tools in locations where they may become damp or wet,</w:t>
      </w:r>
    </w:p>
    <w:p w:rsidR="006918F3" w:rsidRPr="006918F3" w:rsidRDefault="008553FE" w:rsidP="008553FE">
      <w:pPr>
        <w:pStyle w:val="ListParagraph"/>
      </w:pPr>
      <w:r>
        <w:t xml:space="preserve">When necessary, wear appropriate gloves, footwear and eye and ear protection while using the tool. Do not wear loose clothing or </w:t>
      </w:r>
      <w:proofErr w:type="spellStart"/>
      <w:r>
        <w:t>jewellery</w:t>
      </w:r>
      <w:proofErr w:type="spellEnd"/>
      <w:r>
        <w:t xml:space="preserve"> that may become entangled when operating tools. Tie long hair back.</w:t>
      </w:r>
    </w:p>
    <w:p w:rsidR="006918F3" w:rsidRPr="006918F3" w:rsidRDefault="006918F3" w:rsidP="006918F3">
      <w:pPr>
        <w:pStyle w:val="Heading2"/>
        <w:rPr>
          <w:lang w:val="en-AU"/>
        </w:rPr>
      </w:pPr>
      <w:r w:rsidRPr="006918F3">
        <w:rPr>
          <w:lang w:val="en-AU"/>
        </w:rPr>
        <w:t>Operation</w:t>
      </w:r>
    </w:p>
    <w:p w:rsidR="008553FE" w:rsidRDefault="008553FE" w:rsidP="008553FE">
      <w:pPr>
        <w:pStyle w:val="ListParagraph"/>
      </w:pPr>
      <w:r>
        <w:t>Avoid accidental starting. Do not hold a finger on the switch button while carrying a plugged-in tool,</w:t>
      </w:r>
    </w:p>
    <w:p w:rsidR="008553FE" w:rsidRDefault="008553FE" w:rsidP="008553FE">
      <w:pPr>
        <w:pStyle w:val="ListParagraph"/>
      </w:pPr>
      <w:r>
        <w:t>If applicable, ensure you are familiar with the location of the on/off and emergency stop buttons and that they are working correctly,</w:t>
      </w:r>
    </w:p>
    <w:p w:rsidR="008553FE" w:rsidRDefault="008553FE" w:rsidP="008553FE">
      <w:pPr>
        <w:pStyle w:val="ListParagraph"/>
      </w:pPr>
      <w:r>
        <w:t>Work areas should have adequate lighting and be free of clutter,</w:t>
      </w:r>
    </w:p>
    <w:p w:rsidR="008553FE" w:rsidRDefault="008553FE" w:rsidP="008553FE">
      <w:pPr>
        <w:pStyle w:val="ListParagraph"/>
      </w:pPr>
      <w:r>
        <w:t>Ensure observers remain a safe distance away from the work area,</w:t>
      </w:r>
    </w:p>
    <w:p w:rsidR="008553FE" w:rsidRDefault="008553FE" w:rsidP="008553FE">
      <w:pPr>
        <w:pStyle w:val="ListParagraph"/>
      </w:pPr>
      <w:r>
        <w:t>Always stand firmly on the floor/ground and avoid any awkward postures that may cause overbalancing,</w:t>
      </w:r>
    </w:p>
    <w:p w:rsidR="008553FE" w:rsidRDefault="008553FE" w:rsidP="008553FE">
      <w:pPr>
        <w:pStyle w:val="ListParagraph"/>
      </w:pPr>
      <w:r>
        <w:t>Make sure the immediate work area is clear of other tools, off-cut materials or shavings that have the potential to be slipping and tripping hazards,</w:t>
      </w:r>
    </w:p>
    <w:p w:rsidR="008553FE" w:rsidRDefault="008553FE" w:rsidP="008553FE">
      <w:pPr>
        <w:pStyle w:val="ListParagraph"/>
      </w:pPr>
      <w:r>
        <w:t>Ensure power cords are well clear of the main works area to prevent accidental contact during the work process,</w:t>
      </w:r>
    </w:p>
    <w:p w:rsidR="008553FE" w:rsidRDefault="008553FE" w:rsidP="008553FE">
      <w:pPr>
        <w:pStyle w:val="ListParagraph"/>
      </w:pPr>
      <w:r>
        <w:t>Allow the tool to obtain maximum speed before beginning the task,</w:t>
      </w:r>
    </w:p>
    <w:p w:rsidR="008553FE" w:rsidRDefault="008553FE" w:rsidP="008553FE">
      <w:pPr>
        <w:pStyle w:val="ListParagraph"/>
      </w:pPr>
      <w:r>
        <w:t>Do not place any body parts, particularly your hands, near any moving parts of the tool during operation,</w:t>
      </w:r>
    </w:p>
    <w:p w:rsidR="008553FE" w:rsidRDefault="008553FE" w:rsidP="008553FE">
      <w:pPr>
        <w:pStyle w:val="ListParagraph"/>
      </w:pPr>
      <w:r>
        <w:t>Never leave the power tool running unattended,</w:t>
      </w:r>
    </w:p>
    <w:p w:rsidR="008553FE" w:rsidRDefault="008553FE" w:rsidP="008553FE">
      <w:pPr>
        <w:pStyle w:val="ListParagraph"/>
      </w:pPr>
      <w:r>
        <w:t xml:space="preserve">Never use power tools around flammable liquids and gases, </w:t>
      </w:r>
    </w:p>
    <w:p w:rsidR="008553FE" w:rsidRDefault="008553FE" w:rsidP="008553FE">
      <w:pPr>
        <w:pStyle w:val="ListParagraph"/>
      </w:pPr>
      <w:r>
        <w:t>Always be aware of any unusual movements, sounds, or other changes during operation. Cease operation if deemed to be faulty or hazardous,</w:t>
      </w:r>
    </w:p>
    <w:p w:rsidR="008553FE" w:rsidRDefault="008553FE" w:rsidP="008553FE">
      <w:pPr>
        <w:pStyle w:val="ListParagraph"/>
      </w:pPr>
      <w:r>
        <w:t xml:space="preserve">Ensure power tools are sufficiently cooled prior to any maintenance, </w:t>
      </w:r>
    </w:p>
    <w:p w:rsidR="008553FE" w:rsidRDefault="008553FE" w:rsidP="008553FE">
      <w:pPr>
        <w:pStyle w:val="ListParagraph"/>
      </w:pPr>
      <w:r>
        <w:t>Disconnect power tools from the power outlet while servicing or storing,</w:t>
      </w:r>
    </w:p>
    <w:p w:rsidR="008553FE" w:rsidRDefault="008553FE" w:rsidP="008553FE">
      <w:pPr>
        <w:pStyle w:val="ListParagraph"/>
      </w:pPr>
      <w:r>
        <w:lastRenderedPageBreak/>
        <w:t>Do not wrap the cord around the tool for storage,</w:t>
      </w:r>
    </w:p>
    <w:p w:rsidR="006918F3" w:rsidRPr="006918F3" w:rsidRDefault="008553FE" w:rsidP="008553FE">
      <w:pPr>
        <w:pStyle w:val="ListParagraph"/>
      </w:pPr>
      <w:r>
        <w:t>Store tools in a dry place.</w:t>
      </w:r>
    </w:p>
    <w:p w:rsidR="006918F3" w:rsidRPr="006918F3" w:rsidRDefault="006918F3" w:rsidP="006918F3">
      <w:pPr>
        <w:pStyle w:val="Heading2"/>
        <w:rPr>
          <w:lang w:val="en-AU"/>
        </w:rPr>
      </w:pPr>
      <w:r w:rsidRPr="006918F3">
        <w:rPr>
          <w:lang w:val="en-AU"/>
        </w:rPr>
        <w:t>Report Faults</w:t>
      </w:r>
    </w:p>
    <w:p w:rsidR="006918F3" w:rsidRPr="006918F3" w:rsidRDefault="008553FE" w:rsidP="008553FE">
      <w:pPr>
        <w:pStyle w:val="ListParagraph"/>
      </w:pPr>
      <w:r>
        <w:t>Tag Power Tool</w:t>
      </w:r>
      <w:r w:rsidR="006918F3" w:rsidRPr="006918F3">
        <w:t xml:space="preserve"> if faulty so it cannot be used until fixed.</w:t>
      </w:r>
    </w:p>
    <w:sectPr w:rsidR="006918F3" w:rsidRPr="006918F3" w:rsidSect="00476AA0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A9" w:rsidRDefault="00F767A9" w:rsidP="007E4F87">
      <w:pPr>
        <w:spacing w:after="0" w:line="240" w:lineRule="auto"/>
      </w:pPr>
      <w:r>
        <w:separator/>
      </w:r>
    </w:p>
  </w:endnote>
  <w:endnote w:type="continuationSeparator" w:id="0">
    <w:p w:rsidR="00F767A9" w:rsidRDefault="00F767A9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C33B3B" w:rsidRPr="00C33B3B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C33B3B" w:rsidRPr="00C33B3B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A9" w:rsidRDefault="00F767A9" w:rsidP="007E4F87">
      <w:pPr>
        <w:spacing w:after="0" w:line="240" w:lineRule="auto"/>
      </w:pPr>
      <w:r>
        <w:separator/>
      </w:r>
    </w:p>
  </w:footnote>
  <w:footnote w:type="continuationSeparator" w:id="0">
    <w:p w:rsidR="00F767A9" w:rsidRDefault="00F767A9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7026B5" w:rsidP="00B574BE">
          <w:pPr>
            <w:pStyle w:val="Header"/>
          </w:pPr>
          <w:r>
            <w:rPr>
              <w:color w:val="093C61"/>
              <w:sz w:val="16"/>
              <w:szCs w:val="16"/>
            </w:rPr>
            <w:t xml:space="preserve">Date: </w:t>
          </w:r>
          <w:r w:rsidR="00C33B3B">
            <w:rPr>
              <w:color w:val="093C61"/>
              <w:sz w:val="16"/>
              <w:szCs w:val="16"/>
            </w:rPr>
            <w:t>June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26AD"/>
    <w:multiLevelType w:val="hybridMultilevel"/>
    <w:tmpl w:val="3FB6BCB2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12D90"/>
    <w:rsid w:val="000141C9"/>
    <w:rsid w:val="000254EC"/>
    <w:rsid w:val="000442D7"/>
    <w:rsid w:val="00050753"/>
    <w:rsid w:val="00067122"/>
    <w:rsid w:val="000A7D66"/>
    <w:rsid w:val="000B2D64"/>
    <w:rsid w:val="000C18EC"/>
    <w:rsid w:val="000C52D6"/>
    <w:rsid w:val="000D3FCF"/>
    <w:rsid w:val="000F0628"/>
    <w:rsid w:val="000F1647"/>
    <w:rsid w:val="00140648"/>
    <w:rsid w:val="00145F0E"/>
    <w:rsid w:val="001624D5"/>
    <w:rsid w:val="00184F01"/>
    <w:rsid w:val="00186C70"/>
    <w:rsid w:val="00192C76"/>
    <w:rsid w:val="00197943"/>
    <w:rsid w:val="001C0E9D"/>
    <w:rsid w:val="001C364E"/>
    <w:rsid w:val="001C6FE8"/>
    <w:rsid w:val="00201598"/>
    <w:rsid w:val="00210734"/>
    <w:rsid w:val="002122D9"/>
    <w:rsid w:val="002206C7"/>
    <w:rsid w:val="00237BF6"/>
    <w:rsid w:val="00244F12"/>
    <w:rsid w:val="00247B14"/>
    <w:rsid w:val="002625A4"/>
    <w:rsid w:val="0026318D"/>
    <w:rsid w:val="00284D32"/>
    <w:rsid w:val="002A1349"/>
    <w:rsid w:val="002B3465"/>
    <w:rsid w:val="002D532A"/>
    <w:rsid w:val="002E09E1"/>
    <w:rsid w:val="002F4CA2"/>
    <w:rsid w:val="00304F11"/>
    <w:rsid w:val="003221CA"/>
    <w:rsid w:val="00344F54"/>
    <w:rsid w:val="003609F4"/>
    <w:rsid w:val="0036398A"/>
    <w:rsid w:val="0038224B"/>
    <w:rsid w:val="003B4E9A"/>
    <w:rsid w:val="003E43EF"/>
    <w:rsid w:val="003F2BAB"/>
    <w:rsid w:val="00400199"/>
    <w:rsid w:val="00421E9F"/>
    <w:rsid w:val="00427753"/>
    <w:rsid w:val="00472381"/>
    <w:rsid w:val="00476AA0"/>
    <w:rsid w:val="00477011"/>
    <w:rsid w:val="004A3769"/>
    <w:rsid w:val="004C398C"/>
    <w:rsid w:val="004E1F09"/>
    <w:rsid w:val="004E25C3"/>
    <w:rsid w:val="004F5510"/>
    <w:rsid w:val="004F64F9"/>
    <w:rsid w:val="005035C3"/>
    <w:rsid w:val="00521035"/>
    <w:rsid w:val="005335EB"/>
    <w:rsid w:val="005506FE"/>
    <w:rsid w:val="00551375"/>
    <w:rsid w:val="00560469"/>
    <w:rsid w:val="00565C66"/>
    <w:rsid w:val="005820ED"/>
    <w:rsid w:val="0059670A"/>
    <w:rsid w:val="005B2F1C"/>
    <w:rsid w:val="005B575A"/>
    <w:rsid w:val="005C414A"/>
    <w:rsid w:val="005E567B"/>
    <w:rsid w:val="00613F4F"/>
    <w:rsid w:val="00680B5B"/>
    <w:rsid w:val="00684491"/>
    <w:rsid w:val="00685C9F"/>
    <w:rsid w:val="006874E1"/>
    <w:rsid w:val="006918F3"/>
    <w:rsid w:val="006B2130"/>
    <w:rsid w:val="006B2A8F"/>
    <w:rsid w:val="006B3978"/>
    <w:rsid w:val="006B726E"/>
    <w:rsid w:val="006D2DC3"/>
    <w:rsid w:val="006E1A2C"/>
    <w:rsid w:val="006E4307"/>
    <w:rsid w:val="006E6928"/>
    <w:rsid w:val="007026B5"/>
    <w:rsid w:val="00717843"/>
    <w:rsid w:val="007255C6"/>
    <w:rsid w:val="00732B88"/>
    <w:rsid w:val="00746D97"/>
    <w:rsid w:val="00747DCC"/>
    <w:rsid w:val="007500CE"/>
    <w:rsid w:val="0076365E"/>
    <w:rsid w:val="00773E2A"/>
    <w:rsid w:val="00773F74"/>
    <w:rsid w:val="00776EA7"/>
    <w:rsid w:val="00777AA2"/>
    <w:rsid w:val="00777D45"/>
    <w:rsid w:val="00795EB9"/>
    <w:rsid w:val="007B108E"/>
    <w:rsid w:val="007D35C5"/>
    <w:rsid w:val="007E4F87"/>
    <w:rsid w:val="00816186"/>
    <w:rsid w:val="00826B22"/>
    <w:rsid w:val="008512DB"/>
    <w:rsid w:val="008553FE"/>
    <w:rsid w:val="0086636E"/>
    <w:rsid w:val="008949A6"/>
    <w:rsid w:val="008A63FF"/>
    <w:rsid w:val="008C67E4"/>
    <w:rsid w:val="008E074B"/>
    <w:rsid w:val="008E4D06"/>
    <w:rsid w:val="008F1730"/>
    <w:rsid w:val="008F17E6"/>
    <w:rsid w:val="00907748"/>
    <w:rsid w:val="009110D2"/>
    <w:rsid w:val="009918EB"/>
    <w:rsid w:val="009A5F46"/>
    <w:rsid w:val="009C0D9A"/>
    <w:rsid w:val="00A11FA2"/>
    <w:rsid w:val="00A12765"/>
    <w:rsid w:val="00A275B5"/>
    <w:rsid w:val="00A50B3C"/>
    <w:rsid w:val="00A63D44"/>
    <w:rsid w:val="00A858AA"/>
    <w:rsid w:val="00A91399"/>
    <w:rsid w:val="00AA0DD7"/>
    <w:rsid w:val="00AE23B3"/>
    <w:rsid w:val="00AE5C43"/>
    <w:rsid w:val="00B03939"/>
    <w:rsid w:val="00B156C8"/>
    <w:rsid w:val="00B21AD6"/>
    <w:rsid w:val="00B40E60"/>
    <w:rsid w:val="00B574BE"/>
    <w:rsid w:val="00B636BE"/>
    <w:rsid w:val="00B82449"/>
    <w:rsid w:val="00B8793A"/>
    <w:rsid w:val="00BB1FE7"/>
    <w:rsid w:val="00BB545E"/>
    <w:rsid w:val="00C17532"/>
    <w:rsid w:val="00C330AC"/>
    <w:rsid w:val="00C33B3B"/>
    <w:rsid w:val="00C54C55"/>
    <w:rsid w:val="00C655E4"/>
    <w:rsid w:val="00C6790D"/>
    <w:rsid w:val="00C77EB5"/>
    <w:rsid w:val="00C917B1"/>
    <w:rsid w:val="00C9519B"/>
    <w:rsid w:val="00CA7E04"/>
    <w:rsid w:val="00CB3822"/>
    <w:rsid w:val="00CB59DA"/>
    <w:rsid w:val="00CD7A1F"/>
    <w:rsid w:val="00D07BA8"/>
    <w:rsid w:val="00D12FBA"/>
    <w:rsid w:val="00D21D1F"/>
    <w:rsid w:val="00D353F3"/>
    <w:rsid w:val="00D36310"/>
    <w:rsid w:val="00D52444"/>
    <w:rsid w:val="00D64C1E"/>
    <w:rsid w:val="00D77074"/>
    <w:rsid w:val="00D80A5C"/>
    <w:rsid w:val="00D8569E"/>
    <w:rsid w:val="00DB1AFF"/>
    <w:rsid w:val="00DC4BAB"/>
    <w:rsid w:val="00DD7EBC"/>
    <w:rsid w:val="00DF4E68"/>
    <w:rsid w:val="00DF66F8"/>
    <w:rsid w:val="00E119D9"/>
    <w:rsid w:val="00E13768"/>
    <w:rsid w:val="00E1791E"/>
    <w:rsid w:val="00E23CF9"/>
    <w:rsid w:val="00E448D4"/>
    <w:rsid w:val="00E66226"/>
    <w:rsid w:val="00E92F62"/>
    <w:rsid w:val="00E940B3"/>
    <w:rsid w:val="00E954C5"/>
    <w:rsid w:val="00EB2847"/>
    <w:rsid w:val="00F005D9"/>
    <w:rsid w:val="00F00E95"/>
    <w:rsid w:val="00F26FDA"/>
    <w:rsid w:val="00F33C67"/>
    <w:rsid w:val="00F351C6"/>
    <w:rsid w:val="00F41761"/>
    <w:rsid w:val="00F50691"/>
    <w:rsid w:val="00F674CD"/>
    <w:rsid w:val="00F7008D"/>
    <w:rsid w:val="00F73AD3"/>
    <w:rsid w:val="00F767A9"/>
    <w:rsid w:val="00F8380D"/>
    <w:rsid w:val="00F9197A"/>
    <w:rsid w:val="00F949B8"/>
    <w:rsid w:val="00FA3236"/>
    <w:rsid w:val="00FA7929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B60FEC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91E8-1E9F-48B3-A4F3-77EBC0CF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2023-10-12T05:14:00Z</cp:lastPrinted>
  <dcterms:created xsi:type="dcterms:W3CDTF">2023-10-20T06:18:00Z</dcterms:created>
  <dcterms:modified xsi:type="dcterms:W3CDTF">2023-10-20T06:20:00Z</dcterms:modified>
</cp:coreProperties>
</file>