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8" w:rsidRPr="00DF66F8" w:rsidRDefault="00565C66" w:rsidP="004E1F09">
      <w:pPr>
        <w:pStyle w:val="Heading1"/>
      </w:pPr>
      <w:r>
        <w:t>SWM-0</w:t>
      </w:r>
      <w:r w:rsidR="004E1F09">
        <w:t>9</w:t>
      </w:r>
      <w:r w:rsidR="0036398A">
        <w:t xml:space="preserve">. </w:t>
      </w:r>
      <w:r w:rsidR="004E1F09" w:rsidRPr="004E1F09">
        <w:t xml:space="preserve">Lock-out/ </w:t>
      </w:r>
      <w:proofErr w:type="spellStart"/>
      <w:r w:rsidR="004E1F09" w:rsidRPr="004E1F09">
        <w:t>Tagout</w:t>
      </w:r>
      <w:proofErr w:type="spellEnd"/>
    </w:p>
    <w:p w:rsidR="005B575A" w:rsidRPr="004A3769" w:rsidRDefault="0086636E" w:rsidP="004E1F09">
      <w:pPr>
        <w:pStyle w:val="BodyText"/>
        <w:rPr>
          <w:rFonts w:ascii="Montserrat" w:hAnsi="Montserrat"/>
          <w:b/>
          <w:bCs/>
          <w:color w:val="0064AA"/>
          <w:lang w:val="en-AU"/>
        </w:rPr>
      </w:pPr>
      <w:r w:rsidRPr="00CB4C89">
        <w:rPr>
          <w:noProof/>
          <w:lang w:val="de-LI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4561205</wp:posOffset>
            </wp:positionH>
            <wp:positionV relativeFrom="paragraph">
              <wp:posOffset>9525</wp:posOffset>
            </wp:positionV>
            <wp:extent cx="1162685" cy="871855"/>
            <wp:effectExtent l="0" t="0" r="0" b="4445"/>
            <wp:wrapSquare wrapText="bothSides"/>
            <wp:docPr id="1" name="Picture 0" descr="Photo 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 036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871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75A" w:rsidRPr="005B575A">
        <w:rPr>
          <w:rFonts w:ascii="Montserrat" w:hAnsi="Montserrat"/>
          <w:b/>
          <w:bCs/>
          <w:color w:val="0064AA"/>
        </w:rPr>
        <w:t>ACWA</w:t>
      </w:r>
      <w:r w:rsidR="007255C6">
        <w:rPr>
          <w:rFonts w:ascii="Montserrat" w:hAnsi="Montserrat"/>
          <w:b/>
          <w:bCs/>
          <w:color w:val="0064AA"/>
        </w:rPr>
        <w:t xml:space="preserve">: </w:t>
      </w:r>
      <w:r w:rsidR="00684491" w:rsidRPr="00684491">
        <w:rPr>
          <w:rFonts w:ascii="Montserrat" w:hAnsi="Montserrat"/>
          <w:b/>
          <w:bCs/>
          <w:color w:val="0064AA"/>
        </w:rPr>
        <w:t xml:space="preserve">Safe Work Method –  </w:t>
      </w:r>
      <w:r w:rsidR="004E1F09" w:rsidRPr="004E1F09">
        <w:rPr>
          <w:rFonts w:ascii="Montserrat" w:hAnsi="Montserrat"/>
          <w:b/>
          <w:bCs/>
          <w:color w:val="0064AA"/>
        </w:rPr>
        <w:t xml:space="preserve">Lock-out/ </w:t>
      </w:r>
      <w:proofErr w:type="spellStart"/>
      <w:r w:rsidR="004E1F09" w:rsidRPr="004E1F09">
        <w:rPr>
          <w:rFonts w:ascii="Montserrat" w:hAnsi="Montserrat"/>
          <w:b/>
          <w:bCs/>
          <w:color w:val="0064AA"/>
        </w:rPr>
        <w:t>Tagout</w:t>
      </w:r>
      <w:proofErr w:type="spellEnd"/>
    </w:p>
    <w:p w:rsidR="00A11FA2" w:rsidRDefault="00CB3822" w:rsidP="00A11FA2">
      <w:pPr>
        <w:pStyle w:val="BodyText"/>
      </w:pPr>
      <w:r w:rsidRPr="00565C66">
        <w:rPr>
          <w:b/>
          <w:bCs/>
        </w:rPr>
        <w:t>Note:</w:t>
      </w:r>
      <w:r>
        <w:t xml:space="preserve"> </w:t>
      </w:r>
      <w:r w:rsidR="00A11FA2" w:rsidRPr="00A11FA2">
        <w:t xml:space="preserve">This Safe Work Method only provides guidance information and may not necessarily cover all possible hazards and should be used with other references </w:t>
      </w:r>
    </w:p>
    <w:p w:rsidR="00D36310" w:rsidRPr="00565C66" w:rsidRDefault="00CB3822" w:rsidP="00A11FA2">
      <w:pPr>
        <w:pStyle w:val="BodyText"/>
        <w:rPr>
          <w:b/>
          <w:bCs/>
        </w:rPr>
      </w:pPr>
      <w:r w:rsidRPr="00565C66">
        <w:rPr>
          <w:b/>
          <w:bCs/>
        </w:rPr>
        <w:t>Date: August/2023</w:t>
      </w:r>
      <w:r w:rsidR="00D36310" w:rsidRPr="00565C66">
        <w:rPr>
          <w:b/>
          <w:bCs/>
        </w:rPr>
        <w:t xml:space="preserve">.  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3403"/>
        <w:gridCol w:w="5613"/>
      </w:tblGrid>
      <w:tr w:rsidR="00C9519B" w:rsidRPr="00C9519B" w:rsidTr="00F26F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5000" w:type="pct"/>
            <w:gridSpan w:val="2"/>
          </w:tcPr>
          <w:p w:rsidR="00C9519B" w:rsidRPr="00C9519B" w:rsidRDefault="00C9519B" w:rsidP="00923EC0">
            <w:pPr>
              <w:jc w:val="center"/>
              <w:rPr>
                <w:b w:val="0"/>
                <w:sz w:val="24"/>
                <w:szCs w:val="24"/>
              </w:rPr>
            </w:pPr>
            <w:r w:rsidRPr="00C9519B">
              <w:rPr>
                <w:sz w:val="24"/>
                <w:szCs w:val="24"/>
              </w:rPr>
              <w:t>Risk Assessment</w:t>
            </w:r>
          </w:p>
        </w:tc>
      </w:tr>
      <w:tr w:rsidR="00C9519B" w:rsidRPr="00C9519B" w:rsidTr="00F26FDA">
        <w:trPr>
          <w:trHeight w:val="144"/>
        </w:trPr>
        <w:tc>
          <w:tcPr>
            <w:tcW w:w="1887" w:type="pct"/>
          </w:tcPr>
          <w:p w:rsidR="00C9519B" w:rsidRPr="00C9519B" w:rsidRDefault="00C9519B" w:rsidP="00923EC0">
            <w:pPr>
              <w:jc w:val="center"/>
              <w:rPr>
                <w:b/>
                <w:sz w:val="24"/>
                <w:szCs w:val="24"/>
              </w:rPr>
            </w:pPr>
            <w:r w:rsidRPr="00C9519B">
              <w:rPr>
                <w:b/>
                <w:sz w:val="24"/>
                <w:szCs w:val="24"/>
              </w:rPr>
              <w:t xml:space="preserve">Hazard </w:t>
            </w:r>
          </w:p>
        </w:tc>
        <w:tc>
          <w:tcPr>
            <w:tcW w:w="3113" w:type="pct"/>
          </w:tcPr>
          <w:p w:rsidR="00C9519B" w:rsidRPr="00C9519B" w:rsidRDefault="00C9519B" w:rsidP="00923EC0">
            <w:pPr>
              <w:jc w:val="center"/>
              <w:rPr>
                <w:b/>
                <w:sz w:val="24"/>
                <w:szCs w:val="24"/>
              </w:rPr>
            </w:pPr>
            <w:r w:rsidRPr="00C9519B">
              <w:rPr>
                <w:b/>
                <w:sz w:val="24"/>
                <w:szCs w:val="24"/>
              </w:rPr>
              <w:t>Risk</w:t>
            </w:r>
          </w:p>
        </w:tc>
      </w:tr>
      <w:tr w:rsidR="00D52444" w:rsidRPr="00565C66" w:rsidTr="00892190">
        <w:trPr>
          <w:trHeight w:val="299"/>
        </w:trPr>
        <w:tc>
          <w:tcPr>
            <w:tcW w:w="1887" w:type="pct"/>
          </w:tcPr>
          <w:p w:rsidR="00D52444" w:rsidRPr="00954F4E" w:rsidRDefault="00D52444" w:rsidP="00D52444">
            <w:pPr>
              <w:spacing w:line="300" w:lineRule="exact"/>
            </w:pPr>
            <w:r>
              <w:t>Moving components of equipment</w:t>
            </w:r>
          </w:p>
        </w:tc>
        <w:tc>
          <w:tcPr>
            <w:tcW w:w="3113" w:type="pct"/>
          </w:tcPr>
          <w:p w:rsidR="00D52444" w:rsidRPr="00E954C5" w:rsidRDefault="00D52444" w:rsidP="00D5244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D52444">
              <w:rPr>
                <w:lang w:val="en-US"/>
              </w:rPr>
              <w:t>Injury from contact with moving parts</w:t>
            </w:r>
          </w:p>
        </w:tc>
      </w:tr>
      <w:tr w:rsidR="00D52444" w:rsidRPr="00565C66" w:rsidTr="00892190">
        <w:trPr>
          <w:trHeight w:val="299"/>
        </w:trPr>
        <w:tc>
          <w:tcPr>
            <w:tcW w:w="1887" w:type="pct"/>
          </w:tcPr>
          <w:p w:rsidR="00D52444" w:rsidRDefault="00D52444" w:rsidP="00D52444">
            <w:pPr>
              <w:spacing w:line="300" w:lineRule="exact"/>
            </w:pPr>
            <w:r>
              <w:t>Electrical</w:t>
            </w:r>
          </w:p>
        </w:tc>
        <w:tc>
          <w:tcPr>
            <w:tcW w:w="3113" w:type="pct"/>
          </w:tcPr>
          <w:p w:rsidR="00D52444" w:rsidRPr="00D52444" w:rsidRDefault="00D52444" w:rsidP="00D5244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D52444">
              <w:rPr>
                <w:lang w:val="en-US"/>
              </w:rPr>
              <w:t>Electrocution</w:t>
            </w:r>
          </w:p>
        </w:tc>
      </w:tr>
      <w:tr w:rsidR="00D52444" w:rsidRPr="00565C66" w:rsidTr="00892190">
        <w:trPr>
          <w:trHeight w:val="299"/>
        </w:trPr>
        <w:tc>
          <w:tcPr>
            <w:tcW w:w="1887" w:type="pct"/>
          </w:tcPr>
          <w:p w:rsidR="00D52444" w:rsidRDefault="00D52444" w:rsidP="00D52444">
            <w:pPr>
              <w:spacing w:line="300" w:lineRule="exact"/>
            </w:pPr>
            <w:r>
              <w:t>Pressurised fluid or gas</w:t>
            </w:r>
          </w:p>
        </w:tc>
        <w:tc>
          <w:tcPr>
            <w:tcW w:w="3113" w:type="pct"/>
          </w:tcPr>
          <w:p w:rsidR="00D52444" w:rsidRPr="00D52444" w:rsidRDefault="00D52444" w:rsidP="00D5244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D52444">
              <w:rPr>
                <w:lang w:val="en-US"/>
              </w:rPr>
              <w:t xml:space="preserve">Injury from contact with </w:t>
            </w:r>
            <w:proofErr w:type="spellStart"/>
            <w:r w:rsidRPr="00D52444">
              <w:rPr>
                <w:lang w:val="en-US"/>
              </w:rPr>
              <w:t>pressurised</w:t>
            </w:r>
            <w:proofErr w:type="spellEnd"/>
            <w:r w:rsidRPr="00D52444">
              <w:rPr>
                <w:lang w:val="en-US"/>
              </w:rPr>
              <w:t xml:space="preserve"> fluid or gas</w:t>
            </w:r>
          </w:p>
        </w:tc>
      </w:tr>
      <w:tr w:rsidR="00D52444" w:rsidRPr="00565C66" w:rsidTr="00892190">
        <w:trPr>
          <w:trHeight w:val="299"/>
        </w:trPr>
        <w:tc>
          <w:tcPr>
            <w:tcW w:w="1887" w:type="pct"/>
          </w:tcPr>
          <w:p w:rsidR="00D52444" w:rsidRDefault="00D52444" w:rsidP="00D52444">
            <w:pPr>
              <w:spacing w:line="300" w:lineRule="exact"/>
            </w:pPr>
            <w:r>
              <w:t>Slips and trips</w:t>
            </w:r>
          </w:p>
        </w:tc>
        <w:tc>
          <w:tcPr>
            <w:tcW w:w="3113" w:type="pct"/>
          </w:tcPr>
          <w:p w:rsidR="00D52444" w:rsidRPr="00D52444" w:rsidRDefault="00D52444" w:rsidP="00D52444">
            <w:pPr>
              <w:numPr>
                <w:ilvl w:val="0"/>
                <w:numId w:val="1"/>
              </w:numPr>
              <w:tabs>
                <w:tab w:val="center" w:pos="4153"/>
                <w:tab w:val="right" w:pos="8306"/>
              </w:tabs>
              <w:rPr>
                <w:lang w:val="en-US"/>
              </w:rPr>
            </w:pPr>
            <w:r w:rsidRPr="00D52444">
              <w:rPr>
                <w:lang w:val="en-US"/>
              </w:rPr>
              <w:t>Injury from fall</w:t>
            </w:r>
          </w:p>
        </w:tc>
      </w:tr>
    </w:tbl>
    <w:p w:rsidR="00E13768" w:rsidRPr="00E13768" w:rsidRDefault="00E13768" w:rsidP="00E13768">
      <w:pPr>
        <w:pStyle w:val="Heading2"/>
        <w:rPr>
          <w:lang w:val="en-AU"/>
        </w:rPr>
      </w:pPr>
      <w:bookmarkStart w:id="0" w:name="_GoBack"/>
      <w:bookmarkEnd w:id="0"/>
      <w:r w:rsidRPr="00E13768">
        <w:rPr>
          <w:lang w:val="en-AU"/>
        </w:rPr>
        <w:t>Pre-Check &amp; Preparation</w:t>
      </w:r>
    </w:p>
    <w:p w:rsidR="00E13768" w:rsidRPr="000C18EC" w:rsidRDefault="00E13768" w:rsidP="000C18EC">
      <w:pPr>
        <w:pStyle w:val="ListParagraph"/>
      </w:pPr>
      <w:r w:rsidRPr="000C18EC">
        <w:t>Identify all parts of any systems that need to be shut down or isolated for servicing maintenance or access,</w:t>
      </w:r>
    </w:p>
    <w:p w:rsidR="00E13768" w:rsidRPr="000C18EC" w:rsidRDefault="00E13768" w:rsidP="000C18EC">
      <w:pPr>
        <w:pStyle w:val="ListParagraph"/>
      </w:pPr>
      <w:r w:rsidRPr="000C18EC">
        <w:t>Locate the switches, valves or other devices that need to be locked out,</w:t>
      </w:r>
    </w:p>
    <w:p w:rsidR="00E13768" w:rsidRPr="000C18EC" w:rsidRDefault="00E13768" w:rsidP="000C18EC">
      <w:pPr>
        <w:pStyle w:val="ListParagraph"/>
      </w:pPr>
      <w:r w:rsidRPr="000C18EC">
        <w:t>Ensure ALL staff who will be affected by the lock-out/</w:t>
      </w:r>
      <w:proofErr w:type="spellStart"/>
      <w:r w:rsidRPr="000C18EC">
        <w:t>tagout</w:t>
      </w:r>
      <w:proofErr w:type="spellEnd"/>
      <w:r w:rsidRPr="000C18EC">
        <w:t xml:space="preserve"> are aware that the lock-out/</w:t>
      </w:r>
      <w:proofErr w:type="spellStart"/>
      <w:r w:rsidRPr="000C18EC">
        <w:t>tagout</w:t>
      </w:r>
      <w:proofErr w:type="spellEnd"/>
      <w:r w:rsidRPr="000C18EC">
        <w:t xml:space="preserve"> is taking place, why and what is required of them, </w:t>
      </w:r>
    </w:p>
    <w:p w:rsidR="00E13768" w:rsidRPr="000C18EC" w:rsidRDefault="00E13768" w:rsidP="000C18EC">
      <w:pPr>
        <w:pStyle w:val="ListParagraph"/>
      </w:pPr>
      <w:r w:rsidRPr="000C18EC">
        <w:t>Inspect the system to ensure all parts have stopped moving,</w:t>
      </w:r>
    </w:p>
    <w:p w:rsidR="00E13768" w:rsidRPr="000C18EC" w:rsidRDefault="00E13768" w:rsidP="000C18EC">
      <w:pPr>
        <w:pStyle w:val="ListParagraph"/>
      </w:pPr>
      <w:r w:rsidRPr="000C18EC">
        <w:t>Release the tension on springs or block the movement of spring-driven parts,</w:t>
      </w:r>
    </w:p>
    <w:p w:rsidR="00E13768" w:rsidRPr="000C18EC" w:rsidRDefault="00E13768" w:rsidP="000C18EC">
      <w:pPr>
        <w:pStyle w:val="ListParagraph"/>
      </w:pPr>
      <w:r w:rsidRPr="000C18EC">
        <w:t>Block or brace parts that could fall because of gravity,</w:t>
      </w:r>
    </w:p>
    <w:p w:rsidR="00E13768" w:rsidRPr="000C18EC" w:rsidRDefault="00E13768" w:rsidP="000C18EC">
      <w:pPr>
        <w:pStyle w:val="ListParagraph"/>
      </w:pPr>
      <w:r w:rsidRPr="000C18EC">
        <w:t>Block parts in hydraulic and pneumatic systems that could move from loss of pressure,</w:t>
      </w:r>
    </w:p>
    <w:p w:rsidR="00E13768" w:rsidRPr="000C18EC" w:rsidRDefault="00E13768" w:rsidP="000C18EC">
      <w:pPr>
        <w:pStyle w:val="ListParagraph"/>
      </w:pPr>
      <w:r w:rsidRPr="000C18EC">
        <w:t>Block moveable parts.</w:t>
      </w:r>
    </w:p>
    <w:p w:rsidR="00E13768" w:rsidRPr="00E13768" w:rsidRDefault="00E13768" w:rsidP="00E13768">
      <w:pPr>
        <w:pStyle w:val="Heading2"/>
        <w:rPr>
          <w:lang w:val="en-AU"/>
        </w:rPr>
      </w:pPr>
      <w:r w:rsidRPr="00E13768">
        <w:rPr>
          <w:lang w:val="en-AU"/>
        </w:rPr>
        <w:t>Implementation</w:t>
      </w:r>
    </w:p>
    <w:p w:rsidR="00E13768" w:rsidRPr="000C18EC" w:rsidRDefault="00E13768" w:rsidP="000C18EC">
      <w:pPr>
        <w:pStyle w:val="ListParagraph"/>
      </w:pPr>
      <w:r w:rsidRPr="000C18EC">
        <w:t>Isolate all energy sources (main and secondary) to equipment,</w:t>
      </w:r>
    </w:p>
    <w:p w:rsidR="00E13768" w:rsidRPr="000C18EC" w:rsidRDefault="00E13768" w:rsidP="000C18EC">
      <w:pPr>
        <w:pStyle w:val="ListParagraph"/>
      </w:pPr>
      <w:r w:rsidRPr="000C18EC">
        <w:t>Disconnect electricity and turn the power off at the switchboard,</w:t>
      </w:r>
    </w:p>
    <w:p w:rsidR="00E13768" w:rsidRPr="000C18EC" w:rsidRDefault="00E13768" w:rsidP="000C18EC">
      <w:pPr>
        <w:pStyle w:val="ListParagraph"/>
      </w:pPr>
      <w:r w:rsidRPr="000C18EC">
        <w:t xml:space="preserve">Disconnect hydraulic, </w:t>
      </w:r>
      <w:proofErr w:type="spellStart"/>
      <w:r w:rsidRPr="000C18EC">
        <w:t>pressurised</w:t>
      </w:r>
      <w:proofErr w:type="spellEnd"/>
      <w:r w:rsidRPr="000C18EC">
        <w:t xml:space="preserve"> water and pneumatic hoses and turn off hydraulic, </w:t>
      </w:r>
      <w:proofErr w:type="spellStart"/>
      <w:r w:rsidRPr="000C18EC">
        <w:t>pressurised</w:t>
      </w:r>
      <w:proofErr w:type="spellEnd"/>
      <w:r w:rsidRPr="000C18EC">
        <w:t xml:space="preserve"> water and pneumatic valves,</w:t>
      </w:r>
    </w:p>
    <w:p w:rsidR="00E13768" w:rsidRPr="000C18EC" w:rsidRDefault="00E13768" w:rsidP="000C18EC">
      <w:pPr>
        <w:pStyle w:val="ListParagraph"/>
      </w:pPr>
      <w:r w:rsidRPr="000C18EC">
        <w:t>Place appropriate lock-out / tag-out devices on all power sources, controls, and valves to prevent switching on,</w:t>
      </w:r>
    </w:p>
    <w:p w:rsidR="00E13768" w:rsidRPr="000C18EC" w:rsidRDefault="00E13768" w:rsidP="000C18EC">
      <w:pPr>
        <w:pStyle w:val="ListParagraph"/>
      </w:pPr>
      <w:r w:rsidRPr="000C18EC">
        <w:t>Remove keys or other removable controls and place them in the possession of the works supervisor or the person completing the work,</w:t>
      </w:r>
    </w:p>
    <w:p w:rsidR="00E13768" w:rsidRPr="000C18EC" w:rsidRDefault="00E13768" w:rsidP="000C18EC">
      <w:pPr>
        <w:pStyle w:val="ListParagraph"/>
      </w:pPr>
      <w:r w:rsidRPr="000C18EC">
        <w:t xml:space="preserve">Allow all stored energy, e.g., electrical, hydraulic, pneumatic, </w:t>
      </w:r>
      <w:proofErr w:type="spellStart"/>
      <w:r w:rsidRPr="000C18EC">
        <w:t>pressurised</w:t>
      </w:r>
      <w:proofErr w:type="spellEnd"/>
      <w:r w:rsidRPr="000C18EC">
        <w:t xml:space="preserve"> water, </w:t>
      </w:r>
      <w:proofErr w:type="spellStart"/>
      <w:r w:rsidRPr="000C18EC">
        <w:t>etc</w:t>
      </w:r>
      <w:proofErr w:type="spellEnd"/>
      <w:r w:rsidRPr="000C18EC">
        <w:t>, to be released or allowed to dissipate prior to commencing work,</w:t>
      </w:r>
    </w:p>
    <w:p w:rsidR="00E13768" w:rsidRPr="000C18EC" w:rsidRDefault="00E13768" w:rsidP="000C18EC">
      <w:pPr>
        <w:pStyle w:val="ListParagraph"/>
      </w:pPr>
      <w:r w:rsidRPr="000C18EC">
        <w:t>Drain or bleed hydraulic, water and pneumatic lines,</w:t>
      </w:r>
    </w:p>
    <w:p w:rsidR="00E13768" w:rsidRPr="000C18EC" w:rsidRDefault="00E13768" w:rsidP="000C18EC">
      <w:pPr>
        <w:pStyle w:val="ListParagraph"/>
      </w:pPr>
      <w:r w:rsidRPr="000C18EC">
        <w:t>Lower suspended parts to rest position,</w:t>
      </w:r>
    </w:p>
    <w:p w:rsidR="00E13768" w:rsidRPr="000C18EC" w:rsidRDefault="00E13768" w:rsidP="000C18EC">
      <w:pPr>
        <w:pStyle w:val="ListParagraph"/>
      </w:pPr>
      <w:r w:rsidRPr="000C18EC">
        <w:t>Verify all equipment is isolated,</w:t>
      </w:r>
    </w:p>
    <w:p w:rsidR="00E13768" w:rsidRPr="000C18EC" w:rsidRDefault="00E13768" w:rsidP="000C18EC">
      <w:pPr>
        <w:pStyle w:val="ListParagraph"/>
      </w:pPr>
      <w:r w:rsidRPr="000C18EC">
        <w:t>Press all start buttons and other activating controls on the equipment itself to ensure the power doesn't go on,</w:t>
      </w:r>
    </w:p>
    <w:p w:rsidR="00E13768" w:rsidRPr="000C18EC" w:rsidRDefault="00E13768" w:rsidP="000C18EC">
      <w:pPr>
        <w:pStyle w:val="ListParagraph"/>
      </w:pPr>
      <w:r w:rsidRPr="000C18EC">
        <w:t>Shut off all machine controls when the testing is finished,</w:t>
      </w:r>
    </w:p>
    <w:p w:rsidR="00E13768" w:rsidRPr="000C18EC" w:rsidRDefault="00E13768" w:rsidP="000C18EC">
      <w:pPr>
        <w:pStyle w:val="ListParagraph"/>
      </w:pPr>
      <w:r w:rsidRPr="000C18EC">
        <w:t>Avoid doing anything that could re-activate the equipment.</w:t>
      </w:r>
    </w:p>
    <w:p w:rsidR="00E13768" w:rsidRPr="00E13768" w:rsidRDefault="00E13768" w:rsidP="00E13768">
      <w:pPr>
        <w:pStyle w:val="Heading2"/>
        <w:rPr>
          <w:lang w:val="en-AU"/>
        </w:rPr>
      </w:pPr>
      <w:r w:rsidRPr="00E13768">
        <w:rPr>
          <w:lang w:val="en-AU"/>
        </w:rPr>
        <w:t>Restart</w:t>
      </w:r>
    </w:p>
    <w:p w:rsidR="00E13768" w:rsidRPr="000C18EC" w:rsidRDefault="00E13768" w:rsidP="000C18EC">
      <w:pPr>
        <w:pStyle w:val="ListParagraph"/>
      </w:pPr>
      <w:r w:rsidRPr="000C18EC">
        <w:t>Notify everyone who works in the area that lock-out/</w:t>
      </w:r>
      <w:proofErr w:type="spellStart"/>
      <w:r w:rsidRPr="000C18EC">
        <w:t>tagout</w:t>
      </w:r>
      <w:proofErr w:type="spellEnd"/>
      <w:r w:rsidRPr="000C18EC">
        <w:t xml:space="preserve"> is being removed,</w:t>
      </w:r>
    </w:p>
    <w:p w:rsidR="00E13768" w:rsidRPr="000C18EC" w:rsidRDefault="00E13768" w:rsidP="000C18EC">
      <w:pPr>
        <w:pStyle w:val="ListParagraph"/>
      </w:pPr>
      <w:r w:rsidRPr="000C18EC">
        <w:t>Ensure workers are a safe distance away while restoring energy,</w:t>
      </w:r>
    </w:p>
    <w:p w:rsidR="00E13768" w:rsidRPr="000C18EC" w:rsidRDefault="00E13768" w:rsidP="000C18EC">
      <w:pPr>
        <w:pStyle w:val="ListParagraph"/>
      </w:pPr>
      <w:r w:rsidRPr="000C18EC">
        <w:lastRenderedPageBreak/>
        <w:t>Reinstall machine guards,</w:t>
      </w:r>
    </w:p>
    <w:p w:rsidR="00E13768" w:rsidRPr="000C18EC" w:rsidRDefault="00E13768" w:rsidP="000C18EC">
      <w:pPr>
        <w:pStyle w:val="ListParagraph"/>
      </w:pPr>
      <w:r w:rsidRPr="000C18EC">
        <w:t>Remove any machine blocks or bracing that was placed to prevent movement,</w:t>
      </w:r>
    </w:p>
    <w:p w:rsidR="00E13768" w:rsidRPr="000C18EC" w:rsidRDefault="00E13768" w:rsidP="000C18EC">
      <w:pPr>
        <w:pStyle w:val="ListParagraph"/>
      </w:pPr>
      <w:r w:rsidRPr="000C18EC">
        <w:t>Re-tension springs if tension was previously released,</w:t>
      </w:r>
    </w:p>
    <w:p w:rsidR="00E13768" w:rsidRPr="000C18EC" w:rsidRDefault="00E13768" w:rsidP="000C18EC">
      <w:pPr>
        <w:pStyle w:val="ListParagraph"/>
      </w:pPr>
      <w:r w:rsidRPr="000C18EC">
        <w:t>Remove tools from the work area,</w:t>
      </w:r>
    </w:p>
    <w:p w:rsidR="00E13768" w:rsidRPr="000C18EC" w:rsidRDefault="00E13768" w:rsidP="000C18EC">
      <w:pPr>
        <w:pStyle w:val="ListParagraph"/>
      </w:pPr>
      <w:r w:rsidRPr="000C18EC">
        <w:t>Reconnect all power sources,</w:t>
      </w:r>
    </w:p>
    <w:p w:rsidR="00E13768" w:rsidRPr="000C18EC" w:rsidRDefault="00E13768" w:rsidP="000C18EC">
      <w:pPr>
        <w:pStyle w:val="ListParagraph"/>
      </w:pPr>
      <w:r w:rsidRPr="000C18EC">
        <w:t>Remove all lock-out / tag-out devices,</w:t>
      </w:r>
    </w:p>
    <w:p w:rsidR="00E13768" w:rsidRPr="000C18EC" w:rsidRDefault="00E13768" w:rsidP="000C18EC">
      <w:pPr>
        <w:pStyle w:val="ListParagraph"/>
      </w:pPr>
      <w:r w:rsidRPr="000C18EC">
        <w:t>Turn on all power sources and test machine operation.</w:t>
      </w:r>
    </w:p>
    <w:p w:rsidR="00E13768" w:rsidRPr="00E13768" w:rsidRDefault="00E13768" w:rsidP="00E13768">
      <w:pPr>
        <w:pStyle w:val="Heading2"/>
        <w:rPr>
          <w:lang w:val="en-AU"/>
        </w:rPr>
      </w:pPr>
      <w:r w:rsidRPr="00E13768">
        <w:rPr>
          <w:lang w:val="en-AU"/>
        </w:rPr>
        <w:t>Golden Rules</w:t>
      </w:r>
    </w:p>
    <w:p w:rsidR="00E13768" w:rsidRPr="000C18EC" w:rsidRDefault="00E13768" w:rsidP="000C18EC">
      <w:pPr>
        <w:pStyle w:val="ListParagraph"/>
      </w:pPr>
      <w:r w:rsidRPr="000C18EC">
        <w:t>Never operate a machine that has been tagged.</w:t>
      </w:r>
    </w:p>
    <w:p w:rsidR="00E13768" w:rsidRPr="000C18EC" w:rsidRDefault="00E13768" w:rsidP="000C18EC">
      <w:pPr>
        <w:pStyle w:val="ListParagraph"/>
      </w:pPr>
      <w:r w:rsidRPr="000C18EC">
        <w:t>Never rely solely on engineering safety features</w:t>
      </w:r>
    </w:p>
    <w:p w:rsidR="00E13768" w:rsidRPr="000C18EC" w:rsidRDefault="00E13768" w:rsidP="000C18EC">
      <w:pPr>
        <w:pStyle w:val="ListParagraph"/>
      </w:pPr>
      <w:r w:rsidRPr="000C18EC">
        <w:t xml:space="preserve">Never remove a lock without </w:t>
      </w:r>
      <w:proofErr w:type="spellStart"/>
      <w:r w:rsidRPr="000C18EC">
        <w:t>authorisation</w:t>
      </w:r>
      <w:proofErr w:type="spellEnd"/>
    </w:p>
    <w:sectPr w:rsidR="00E13768" w:rsidRPr="000C18EC" w:rsidSect="00476AA0">
      <w:headerReference w:type="default" r:id="rId9"/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7C8" w:rsidRDefault="006F77C8" w:rsidP="007E4F87">
      <w:pPr>
        <w:spacing w:after="0" w:line="240" w:lineRule="auto"/>
      </w:pPr>
      <w:r>
        <w:separator/>
      </w:r>
    </w:p>
  </w:endnote>
  <w:endnote w:type="continuationSeparator" w:id="0">
    <w:p w:rsidR="006F77C8" w:rsidRDefault="006F77C8" w:rsidP="007E4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5000" w:type="pct"/>
      <w:tblBorders>
        <w:top w:val="single" w:sz="8" w:space="0" w:color="093C61"/>
      </w:tblBorders>
      <w:tblLook w:val="04A0" w:firstRow="1" w:lastRow="0" w:firstColumn="1" w:lastColumn="0" w:noHBand="0" w:noVBand="1"/>
    </w:tblPr>
    <w:tblGrid>
      <w:gridCol w:w="7383"/>
      <w:gridCol w:w="1643"/>
    </w:tblGrid>
    <w:tr w:rsidR="002B3465" w:rsidRPr="002B3465" w:rsidTr="00EB2847">
      <w:tc>
        <w:tcPr>
          <w:tcW w:w="4090" w:type="pct"/>
        </w:tcPr>
        <w:p w:rsidR="00FB2321" w:rsidRPr="002206C7" w:rsidRDefault="00FB2321">
          <w:pPr>
            <w:pStyle w:val="Footer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>The controlled version of this document is on the ACWA website</w:t>
          </w:r>
        </w:p>
      </w:tc>
      <w:tc>
        <w:tcPr>
          <w:tcW w:w="910" w:type="pct"/>
        </w:tcPr>
        <w:p w:rsidR="00FB2321" w:rsidRPr="002206C7" w:rsidRDefault="002B3465" w:rsidP="002B3465">
          <w:pPr>
            <w:pStyle w:val="Footer"/>
            <w:jc w:val="right"/>
            <w:rPr>
              <w:color w:val="0064AA"/>
              <w:sz w:val="16"/>
              <w:szCs w:val="16"/>
              <w:lang w:val="en-US"/>
            </w:rPr>
          </w:pPr>
          <w:r w:rsidRPr="002206C7">
            <w:rPr>
              <w:color w:val="0064AA"/>
              <w:sz w:val="16"/>
              <w:szCs w:val="16"/>
              <w:lang w:val="en-US"/>
            </w:rPr>
            <w:t xml:space="preserve">Page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PAGE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0C18EC" w:rsidRPr="000C18EC">
            <w:rPr>
              <w:bCs/>
              <w:noProof/>
              <w:color w:val="0064AA"/>
              <w:sz w:val="16"/>
              <w:szCs w:val="16"/>
              <w:lang w:val="en-US"/>
            </w:rPr>
            <w:t>2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  <w:r w:rsidRPr="002206C7">
            <w:rPr>
              <w:color w:val="0064AA"/>
              <w:sz w:val="16"/>
              <w:szCs w:val="16"/>
              <w:lang w:val="en-US"/>
            </w:rPr>
            <w:t xml:space="preserve"> of 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begin"/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instrText xml:space="preserve"> NUMPAGES  \* Arabic  \* MERGEFORMAT </w:instrTex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separate"/>
          </w:r>
          <w:r w:rsidR="000C18EC" w:rsidRPr="000C18EC">
            <w:rPr>
              <w:bCs/>
              <w:noProof/>
              <w:color w:val="0064AA"/>
              <w:sz w:val="16"/>
              <w:szCs w:val="16"/>
              <w:lang w:val="en-US"/>
            </w:rPr>
            <w:t>2</w:t>
          </w:r>
          <w:r w:rsidRPr="002206C7">
            <w:rPr>
              <w:b/>
              <w:bCs/>
              <w:color w:val="0064AA"/>
              <w:sz w:val="16"/>
              <w:szCs w:val="16"/>
              <w:lang w:val="en-US"/>
            </w:rPr>
            <w:fldChar w:fldCharType="end"/>
          </w:r>
        </w:p>
      </w:tc>
    </w:tr>
  </w:tbl>
  <w:p w:rsidR="00DB1AFF" w:rsidRPr="00FB2321" w:rsidRDefault="00DB1AF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7C8" w:rsidRDefault="006F77C8" w:rsidP="007E4F87">
      <w:pPr>
        <w:spacing w:after="0" w:line="240" w:lineRule="auto"/>
      </w:pPr>
      <w:r>
        <w:separator/>
      </w:r>
    </w:p>
  </w:footnote>
  <w:footnote w:type="continuationSeparator" w:id="0">
    <w:p w:rsidR="006F77C8" w:rsidRDefault="006F77C8" w:rsidP="007E4F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Light"/>
      <w:tblW w:w="0" w:type="auto"/>
      <w:tblLook w:val="04A0" w:firstRow="1" w:lastRow="0" w:firstColumn="1" w:lastColumn="0" w:noHBand="0" w:noVBand="1"/>
    </w:tblPr>
    <w:tblGrid>
      <w:gridCol w:w="9016"/>
    </w:tblGrid>
    <w:tr w:rsidR="00F351C6" w:rsidTr="002206C7">
      <w:tc>
        <w:tcPr>
          <w:tcW w:w="9016" w:type="dxa"/>
        </w:tcPr>
        <w:p w:rsidR="00F351C6" w:rsidRPr="004F5510" w:rsidRDefault="00476AA0" w:rsidP="00F351C6">
          <w:pPr>
            <w:pStyle w:val="Footer"/>
            <w:tabs>
              <w:tab w:val="right" w:pos="9960"/>
            </w:tabs>
            <w:rPr>
              <w:color w:val="093C61"/>
              <w:sz w:val="16"/>
              <w:szCs w:val="16"/>
            </w:rPr>
          </w:pPr>
          <w:r w:rsidRPr="004F5510">
            <w:rPr>
              <w:noProof/>
              <w:color w:val="093C61"/>
            </w:rPr>
            <w:drawing>
              <wp:anchor distT="0" distB="0" distL="114300" distR="114300" simplePos="0" relativeHeight="251658240" behindDoc="0" locked="0" layoutInCell="1" allowOverlap="1" wp14:anchorId="5446F8E9" wp14:editId="41C7DB23">
                <wp:simplePos x="0" y="0"/>
                <wp:positionH relativeFrom="margin">
                  <wp:posOffset>5144770</wp:posOffset>
                </wp:positionH>
                <wp:positionV relativeFrom="paragraph">
                  <wp:posOffset>-163983</wp:posOffset>
                </wp:positionV>
                <wp:extent cx="514985" cy="428625"/>
                <wp:effectExtent l="0" t="0" r="0" b="9525"/>
                <wp:wrapNone/>
                <wp:docPr id="4" name="Picture 4" descr="C:\Users\Public\Documents\doug11\04025 ACWA Logo.rgb.l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Public\Documents\doug11\04025 ACWA Logo.rgb.l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98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F351C6" w:rsidRPr="004F5510">
            <w:rPr>
              <w:color w:val="093C61"/>
              <w:sz w:val="16"/>
              <w:szCs w:val="16"/>
            </w:rPr>
            <w:t>Version: 02</w:t>
          </w:r>
        </w:p>
        <w:p w:rsidR="00F351C6" w:rsidRDefault="007026B5" w:rsidP="00421E9F">
          <w:pPr>
            <w:pStyle w:val="Header"/>
          </w:pPr>
          <w:r>
            <w:rPr>
              <w:color w:val="093C61"/>
              <w:sz w:val="16"/>
              <w:szCs w:val="16"/>
            </w:rPr>
            <w:t xml:space="preserve">Date: </w:t>
          </w:r>
          <w:r w:rsidR="00421E9F">
            <w:rPr>
              <w:color w:val="093C61"/>
              <w:sz w:val="16"/>
              <w:szCs w:val="16"/>
            </w:rPr>
            <w:t>August</w:t>
          </w:r>
          <w:r w:rsidR="00F351C6" w:rsidRPr="004F5510">
            <w:rPr>
              <w:color w:val="093C61"/>
              <w:sz w:val="16"/>
              <w:szCs w:val="16"/>
            </w:rPr>
            <w:t xml:space="preserve"> 2023</w:t>
          </w:r>
          <w:r w:rsidR="00476AA0" w:rsidRPr="004F5510">
            <w:rPr>
              <w:noProof/>
              <w:color w:val="093C61"/>
            </w:rPr>
            <w:t xml:space="preserve"> </w:t>
          </w:r>
        </w:p>
      </w:tc>
    </w:tr>
  </w:tbl>
  <w:p w:rsidR="007E4F87" w:rsidRDefault="007E4F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A6713"/>
    <w:multiLevelType w:val="hybridMultilevel"/>
    <w:tmpl w:val="11EE22B0"/>
    <w:lvl w:ilvl="0" w:tplc="3440E23E"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15A54"/>
    <w:multiLevelType w:val="hybridMultilevel"/>
    <w:tmpl w:val="0B0C4E52"/>
    <w:lvl w:ilvl="0" w:tplc="05A4A60C">
      <w:numFmt w:val="bullet"/>
      <w:lvlText w:val="•"/>
      <w:lvlJc w:val="left"/>
      <w:pPr>
        <w:ind w:left="493" w:hanging="430"/>
      </w:pPr>
      <w:rPr>
        <w:rFonts w:ascii="Century Gothic" w:eastAsiaTheme="minorEastAsia" w:hAnsi="Century Gothic" w:cstheme="minorBid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D40EE"/>
    <w:multiLevelType w:val="hybridMultilevel"/>
    <w:tmpl w:val="CC5C9272"/>
    <w:lvl w:ilvl="0" w:tplc="1B62D01E">
      <w:numFmt w:val="bullet"/>
      <w:lvlText w:val="•"/>
      <w:lvlJc w:val="left"/>
      <w:pPr>
        <w:ind w:left="1070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EA4AD8"/>
    <w:multiLevelType w:val="hybridMultilevel"/>
    <w:tmpl w:val="B7BC3168"/>
    <w:lvl w:ilvl="0" w:tplc="DFBCD450">
      <w:start w:val="1"/>
      <w:numFmt w:val="decimal"/>
      <w:lvlText w:val="%1."/>
      <w:lvlJc w:val="left"/>
      <w:pPr>
        <w:ind w:left="1430" w:hanging="710"/>
      </w:pPr>
      <w:rPr>
        <w:rFonts w:hint="default"/>
        <w:b/>
        <w:bCs/>
      </w:rPr>
    </w:lvl>
    <w:lvl w:ilvl="1" w:tplc="37508700">
      <w:start w:val="1"/>
      <w:numFmt w:val="bullet"/>
      <w:lvlText w:val="•"/>
      <w:lvlJc w:val="left"/>
      <w:pPr>
        <w:ind w:left="2140" w:hanging="700"/>
      </w:pPr>
      <w:rPr>
        <w:rFonts w:ascii="Calibri" w:eastAsiaTheme="minorEastAsia" w:hAnsi="Calibri" w:cstheme="minorBidi" w:hint="default"/>
      </w:rPr>
    </w:lvl>
    <w:lvl w:ilvl="2" w:tplc="F2F8D6DC">
      <w:start w:val="1"/>
      <w:numFmt w:val="lowerLetter"/>
      <w:lvlText w:val="%3)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496F42"/>
    <w:multiLevelType w:val="hybridMultilevel"/>
    <w:tmpl w:val="0590BE4C"/>
    <w:lvl w:ilvl="0" w:tplc="BC0E04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</w:rPr>
    </w:lvl>
    <w:lvl w:ilvl="1" w:tplc="0F8003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7286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68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AA1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546E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B29E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7C9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3AE03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E26AD"/>
    <w:multiLevelType w:val="hybridMultilevel"/>
    <w:tmpl w:val="16003C9E"/>
    <w:lvl w:ilvl="0" w:tplc="9768FA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1DEEB91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/>
        <w:i w:val="0"/>
        <w:sz w:val="24"/>
      </w:rPr>
    </w:lvl>
    <w:lvl w:ilvl="2" w:tplc="B9CAF51C">
      <w:numFmt w:val="bullet"/>
      <w:lvlText w:val="•"/>
      <w:lvlJc w:val="left"/>
      <w:pPr>
        <w:ind w:left="2150" w:hanging="710"/>
      </w:pPr>
      <w:rPr>
        <w:rFonts w:ascii="Calibri" w:eastAsiaTheme="minorEastAsia" w:hAnsi="Calibri" w:cs="Calibri" w:hint="default"/>
      </w:rPr>
    </w:lvl>
    <w:lvl w:ilvl="3" w:tplc="E6888B4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D6EBAF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0EE3A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B068A5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82002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04E0E8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2719BD"/>
    <w:multiLevelType w:val="multilevel"/>
    <w:tmpl w:val="7B3E6BDC"/>
    <w:lvl w:ilvl="0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cs="Times New Roman" w:hint="default"/>
        <w:color w:val="093C61"/>
      </w:rPr>
    </w:lvl>
    <w:lvl w:ilvl="1">
      <w:numFmt w:val="bullet"/>
      <w:lvlText w:val=""/>
      <w:lvlJc w:val="left"/>
      <w:pPr>
        <w:ind w:left="1800" w:hanging="360"/>
      </w:pPr>
      <w:rPr>
        <w:rFonts w:ascii="Symbol" w:hAnsi="Symbol" w:cs="Times New Roman" w:hint="default"/>
        <w:color w:val="093C61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B609C2"/>
    <w:multiLevelType w:val="hybridMultilevel"/>
    <w:tmpl w:val="E9700D4C"/>
    <w:lvl w:ilvl="0" w:tplc="ABF4259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9F2E237E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6EE27692">
      <w:start w:val="1"/>
      <w:numFmt w:val="decimal"/>
      <w:lvlText w:val="%3"/>
      <w:lvlJc w:val="left"/>
      <w:pPr>
        <w:ind w:left="3050" w:hanging="710"/>
      </w:pPr>
      <w:rPr>
        <w:rFonts w:hint="default"/>
      </w:rPr>
    </w:lvl>
    <w:lvl w:ilvl="3" w:tplc="1407000F" w:tentative="1">
      <w:start w:val="1"/>
      <w:numFmt w:val="decimal"/>
      <w:lvlText w:val="%4."/>
      <w:lvlJc w:val="left"/>
      <w:pPr>
        <w:ind w:left="3240" w:hanging="360"/>
      </w:pPr>
    </w:lvl>
    <w:lvl w:ilvl="4" w:tplc="14070019" w:tentative="1">
      <w:start w:val="1"/>
      <w:numFmt w:val="lowerLetter"/>
      <w:lvlText w:val="%5."/>
      <w:lvlJc w:val="left"/>
      <w:pPr>
        <w:ind w:left="3960" w:hanging="360"/>
      </w:pPr>
    </w:lvl>
    <w:lvl w:ilvl="5" w:tplc="1407001B" w:tentative="1">
      <w:start w:val="1"/>
      <w:numFmt w:val="lowerRoman"/>
      <w:lvlText w:val="%6."/>
      <w:lvlJc w:val="right"/>
      <w:pPr>
        <w:ind w:left="4680" w:hanging="180"/>
      </w:pPr>
    </w:lvl>
    <w:lvl w:ilvl="6" w:tplc="1407000F" w:tentative="1">
      <w:start w:val="1"/>
      <w:numFmt w:val="decimal"/>
      <w:lvlText w:val="%7."/>
      <w:lvlJc w:val="left"/>
      <w:pPr>
        <w:ind w:left="5400" w:hanging="360"/>
      </w:pPr>
    </w:lvl>
    <w:lvl w:ilvl="7" w:tplc="14070019" w:tentative="1">
      <w:start w:val="1"/>
      <w:numFmt w:val="lowerLetter"/>
      <w:lvlText w:val="%8."/>
      <w:lvlJc w:val="left"/>
      <w:pPr>
        <w:ind w:left="6120" w:hanging="360"/>
      </w:pPr>
    </w:lvl>
    <w:lvl w:ilvl="8" w:tplc="1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400F48"/>
    <w:multiLevelType w:val="hybridMultilevel"/>
    <w:tmpl w:val="C8A4F4F2"/>
    <w:lvl w:ilvl="0" w:tplc="05A4A60C">
      <w:numFmt w:val="bullet"/>
      <w:lvlText w:val="•"/>
      <w:lvlJc w:val="left"/>
      <w:pPr>
        <w:ind w:left="493" w:hanging="430"/>
      </w:pPr>
      <w:rPr>
        <w:rFonts w:ascii="Century Gothic" w:eastAsiaTheme="minorEastAsia" w:hAnsi="Century Gothic" w:cstheme="minorBidi" w:hint="default"/>
      </w:rPr>
    </w:lvl>
    <w:lvl w:ilvl="1" w:tplc="1407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9" w15:restartNumberingAfterBreak="0">
    <w:nsid w:val="543666F1"/>
    <w:multiLevelType w:val="hybridMultilevel"/>
    <w:tmpl w:val="030068EE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0718DB"/>
    <w:multiLevelType w:val="hybridMultilevel"/>
    <w:tmpl w:val="89C84EC8"/>
    <w:lvl w:ilvl="0" w:tplc="3440E23E">
      <w:numFmt w:val="bullet"/>
      <w:lvlText w:val="•"/>
      <w:lvlJc w:val="left"/>
      <w:pPr>
        <w:ind w:left="1133" w:hanging="710"/>
      </w:pPr>
      <w:rPr>
        <w:rFonts w:ascii="Calibri" w:eastAsiaTheme="minorEastAsia" w:hAnsi="Calibri" w:cs="Calibri" w:hint="default"/>
      </w:rPr>
    </w:lvl>
    <w:lvl w:ilvl="1" w:tplc="1407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70623ED1"/>
    <w:multiLevelType w:val="hybridMultilevel"/>
    <w:tmpl w:val="11E4A19A"/>
    <w:lvl w:ilvl="0" w:tplc="1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160D0"/>
    <w:multiLevelType w:val="hybridMultilevel"/>
    <w:tmpl w:val="BF3E4AF2"/>
    <w:lvl w:ilvl="0" w:tplc="ABF425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4070019" w:tentative="1">
      <w:start w:val="1"/>
      <w:numFmt w:val="lowerLetter"/>
      <w:lvlText w:val="%2."/>
      <w:lvlJc w:val="left"/>
      <w:pPr>
        <w:ind w:left="1440" w:hanging="360"/>
      </w:pPr>
    </w:lvl>
    <w:lvl w:ilvl="2" w:tplc="1407001B" w:tentative="1">
      <w:start w:val="1"/>
      <w:numFmt w:val="lowerRoman"/>
      <w:lvlText w:val="%3."/>
      <w:lvlJc w:val="right"/>
      <w:pPr>
        <w:ind w:left="2160" w:hanging="180"/>
      </w:pPr>
    </w:lvl>
    <w:lvl w:ilvl="3" w:tplc="1407000F" w:tentative="1">
      <w:start w:val="1"/>
      <w:numFmt w:val="decimal"/>
      <w:lvlText w:val="%4."/>
      <w:lvlJc w:val="left"/>
      <w:pPr>
        <w:ind w:left="2880" w:hanging="360"/>
      </w:pPr>
    </w:lvl>
    <w:lvl w:ilvl="4" w:tplc="14070019" w:tentative="1">
      <w:start w:val="1"/>
      <w:numFmt w:val="lowerLetter"/>
      <w:lvlText w:val="%5."/>
      <w:lvlJc w:val="left"/>
      <w:pPr>
        <w:ind w:left="3600" w:hanging="360"/>
      </w:pPr>
    </w:lvl>
    <w:lvl w:ilvl="5" w:tplc="1407001B" w:tentative="1">
      <w:start w:val="1"/>
      <w:numFmt w:val="lowerRoman"/>
      <w:lvlText w:val="%6."/>
      <w:lvlJc w:val="right"/>
      <w:pPr>
        <w:ind w:left="4320" w:hanging="180"/>
      </w:pPr>
    </w:lvl>
    <w:lvl w:ilvl="6" w:tplc="1407000F" w:tentative="1">
      <w:start w:val="1"/>
      <w:numFmt w:val="decimal"/>
      <w:lvlText w:val="%7."/>
      <w:lvlJc w:val="left"/>
      <w:pPr>
        <w:ind w:left="5040" w:hanging="360"/>
      </w:pPr>
    </w:lvl>
    <w:lvl w:ilvl="7" w:tplc="14070019" w:tentative="1">
      <w:start w:val="1"/>
      <w:numFmt w:val="lowerLetter"/>
      <w:lvlText w:val="%8."/>
      <w:lvlJc w:val="left"/>
      <w:pPr>
        <w:ind w:left="5760" w:hanging="360"/>
      </w:pPr>
    </w:lvl>
    <w:lvl w:ilvl="8" w:tplc="1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12"/>
  </w:num>
  <w:num w:numId="6">
    <w:abstractNumId w:val="4"/>
  </w:num>
  <w:num w:numId="7">
    <w:abstractNumId w:val="11"/>
  </w:num>
  <w:num w:numId="8">
    <w:abstractNumId w:val="0"/>
  </w:num>
  <w:num w:numId="9">
    <w:abstractNumId w:val="10"/>
  </w:num>
  <w:num w:numId="10">
    <w:abstractNumId w:val="8"/>
  </w:num>
  <w:num w:numId="11">
    <w:abstractNumId w:val="1"/>
  </w:num>
  <w:num w:numId="12">
    <w:abstractNumId w:val="2"/>
  </w:num>
  <w:num w:numId="13">
    <w:abstractNumId w:val="9"/>
  </w:num>
  <w:num w:numId="14">
    <w:abstractNumId w:val="6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6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6"/>
  </w:num>
  <w:num w:numId="39">
    <w:abstractNumId w:val="6"/>
  </w:num>
  <w:num w:numId="40">
    <w:abstractNumId w:val="6"/>
  </w:num>
  <w:num w:numId="41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98C"/>
    <w:rsid w:val="00012D90"/>
    <w:rsid w:val="000141C9"/>
    <w:rsid w:val="000254EC"/>
    <w:rsid w:val="000442D7"/>
    <w:rsid w:val="00050753"/>
    <w:rsid w:val="00067122"/>
    <w:rsid w:val="000A7D66"/>
    <w:rsid w:val="000B2D64"/>
    <w:rsid w:val="000C18EC"/>
    <w:rsid w:val="000C52D6"/>
    <w:rsid w:val="000D3FCF"/>
    <w:rsid w:val="000F1647"/>
    <w:rsid w:val="00140648"/>
    <w:rsid w:val="00145F0E"/>
    <w:rsid w:val="001624D5"/>
    <w:rsid w:val="00184F01"/>
    <w:rsid w:val="00186C70"/>
    <w:rsid w:val="00192C76"/>
    <w:rsid w:val="00197943"/>
    <w:rsid w:val="001C364E"/>
    <w:rsid w:val="001C6FE8"/>
    <w:rsid w:val="00201598"/>
    <w:rsid w:val="00210734"/>
    <w:rsid w:val="002122D9"/>
    <w:rsid w:val="002206C7"/>
    <w:rsid w:val="00237BF6"/>
    <w:rsid w:val="00244F12"/>
    <w:rsid w:val="00247B14"/>
    <w:rsid w:val="002625A4"/>
    <w:rsid w:val="00284D32"/>
    <w:rsid w:val="002A1349"/>
    <w:rsid w:val="002B3465"/>
    <w:rsid w:val="002E09E1"/>
    <w:rsid w:val="002F4CA2"/>
    <w:rsid w:val="00304F11"/>
    <w:rsid w:val="00344F54"/>
    <w:rsid w:val="003609F4"/>
    <w:rsid w:val="0036398A"/>
    <w:rsid w:val="0038224B"/>
    <w:rsid w:val="003B4E9A"/>
    <w:rsid w:val="003E43EF"/>
    <w:rsid w:val="003F2BAB"/>
    <w:rsid w:val="00421E9F"/>
    <w:rsid w:val="00427753"/>
    <w:rsid w:val="00472381"/>
    <w:rsid w:val="00476AA0"/>
    <w:rsid w:val="00477011"/>
    <w:rsid w:val="004A3769"/>
    <w:rsid w:val="004C398C"/>
    <w:rsid w:val="004E1F09"/>
    <w:rsid w:val="004E25C3"/>
    <w:rsid w:val="004F5510"/>
    <w:rsid w:val="005035C3"/>
    <w:rsid w:val="00521035"/>
    <w:rsid w:val="005335EB"/>
    <w:rsid w:val="005506FE"/>
    <w:rsid w:val="00560469"/>
    <w:rsid w:val="00565C66"/>
    <w:rsid w:val="005B2F1C"/>
    <w:rsid w:val="005B575A"/>
    <w:rsid w:val="005C414A"/>
    <w:rsid w:val="005E567B"/>
    <w:rsid w:val="00613F4F"/>
    <w:rsid w:val="00680B5B"/>
    <w:rsid w:val="00684491"/>
    <w:rsid w:val="00685C9F"/>
    <w:rsid w:val="006874E1"/>
    <w:rsid w:val="006B2A8F"/>
    <w:rsid w:val="006B3978"/>
    <w:rsid w:val="006B726E"/>
    <w:rsid w:val="006D2DC3"/>
    <w:rsid w:val="006E1A2C"/>
    <w:rsid w:val="006E4307"/>
    <w:rsid w:val="006E6928"/>
    <w:rsid w:val="006F77C8"/>
    <w:rsid w:val="007026B5"/>
    <w:rsid w:val="00717843"/>
    <w:rsid w:val="007255C6"/>
    <w:rsid w:val="00746D97"/>
    <w:rsid w:val="00747DCC"/>
    <w:rsid w:val="007500CE"/>
    <w:rsid w:val="0076365E"/>
    <w:rsid w:val="00773E2A"/>
    <w:rsid w:val="00773F74"/>
    <w:rsid w:val="00776EA7"/>
    <w:rsid w:val="00777D45"/>
    <w:rsid w:val="00795EB9"/>
    <w:rsid w:val="007B108E"/>
    <w:rsid w:val="007D35C5"/>
    <w:rsid w:val="007E4F87"/>
    <w:rsid w:val="00816186"/>
    <w:rsid w:val="00826B22"/>
    <w:rsid w:val="0086636E"/>
    <w:rsid w:val="008949A6"/>
    <w:rsid w:val="008A63FF"/>
    <w:rsid w:val="008C67E4"/>
    <w:rsid w:val="008E074B"/>
    <w:rsid w:val="008E4D06"/>
    <w:rsid w:val="008F1730"/>
    <w:rsid w:val="00907748"/>
    <w:rsid w:val="009918EB"/>
    <w:rsid w:val="009A5F46"/>
    <w:rsid w:val="009C0D9A"/>
    <w:rsid w:val="00A11FA2"/>
    <w:rsid w:val="00A12765"/>
    <w:rsid w:val="00A275B5"/>
    <w:rsid w:val="00A63D44"/>
    <w:rsid w:val="00A858AA"/>
    <w:rsid w:val="00A91399"/>
    <w:rsid w:val="00AE23B3"/>
    <w:rsid w:val="00B03939"/>
    <w:rsid w:val="00B21AD6"/>
    <w:rsid w:val="00B40E60"/>
    <w:rsid w:val="00B636BE"/>
    <w:rsid w:val="00B8793A"/>
    <w:rsid w:val="00BB1FE7"/>
    <w:rsid w:val="00BB545E"/>
    <w:rsid w:val="00C17532"/>
    <w:rsid w:val="00C330AC"/>
    <w:rsid w:val="00C54C55"/>
    <w:rsid w:val="00C655E4"/>
    <w:rsid w:val="00C6790D"/>
    <w:rsid w:val="00C77EB5"/>
    <w:rsid w:val="00C917B1"/>
    <w:rsid w:val="00C9519B"/>
    <w:rsid w:val="00CB3822"/>
    <w:rsid w:val="00CB59DA"/>
    <w:rsid w:val="00CD7A1F"/>
    <w:rsid w:val="00D21D1F"/>
    <w:rsid w:val="00D353F3"/>
    <w:rsid w:val="00D36310"/>
    <w:rsid w:val="00D52444"/>
    <w:rsid w:val="00D64C1E"/>
    <w:rsid w:val="00D80A5C"/>
    <w:rsid w:val="00D8569E"/>
    <w:rsid w:val="00DB1AFF"/>
    <w:rsid w:val="00DC4BAB"/>
    <w:rsid w:val="00DD7EBC"/>
    <w:rsid w:val="00DF4E68"/>
    <w:rsid w:val="00DF66F8"/>
    <w:rsid w:val="00E119D9"/>
    <w:rsid w:val="00E13768"/>
    <w:rsid w:val="00E1791E"/>
    <w:rsid w:val="00E23CF9"/>
    <w:rsid w:val="00E448D4"/>
    <w:rsid w:val="00E66226"/>
    <w:rsid w:val="00E92F62"/>
    <w:rsid w:val="00E954C5"/>
    <w:rsid w:val="00EB2847"/>
    <w:rsid w:val="00F005D9"/>
    <w:rsid w:val="00F26FDA"/>
    <w:rsid w:val="00F351C6"/>
    <w:rsid w:val="00F41761"/>
    <w:rsid w:val="00F50691"/>
    <w:rsid w:val="00F674CD"/>
    <w:rsid w:val="00F7008D"/>
    <w:rsid w:val="00F8380D"/>
    <w:rsid w:val="00F9197A"/>
    <w:rsid w:val="00F949B8"/>
    <w:rsid w:val="00FA3236"/>
    <w:rsid w:val="00FA7929"/>
    <w:rsid w:val="00FB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E6DCF3C"/>
  <w15:chartTrackingRefBased/>
  <w15:docId w15:val="{8EC5D9A0-6BE0-441F-93BF-7CAAF536A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LI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66F8"/>
  </w:style>
  <w:style w:type="paragraph" w:styleId="Heading1">
    <w:name w:val="heading 1"/>
    <w:basedOn w:val="Normal"/>
    <w:next w:val="Normal"/>
    <w:link w:val="Heading1Char"/>
    <w:uiPriority w:val="9"/>
    <w:qFormat/>
    <w:rsid w:val="00DF66F8"/>
    <w:pPr>
      <w:pBdr>
        <w:bottom w:val="single" w:sz="8" w:space="1" w:color="093C61"/>
      </w:pBdr>
      <w:outlineLvl w:val="0"/>
    </w:pPr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9C0D9A"/>
    <w:pPr>
      <w:outlineLvl w:val="1"/>
    </w:pPr>
    <w:rPr>
      <w:rFonts w:ascii="Montserrat" w:hAnsi="Montserrat"/>
      <w:b/>
      <w:bCs/>
      <w:color w:val="0064A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3F74"/>
    <w:pPr>
      <w:spacing w:before="120" w:after="120"/>
      <w:outlineLvl w:val="2"/>
    </w:pPr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66F8"/>
    <w:rPr>
      <w:rFonts w:ascii="Montserrat" w:hAnsi="Montserrat"/>
      <w:b/>
      <w:bCs/>
      <w:color w:val="093C61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qFormat/>
    <w:rsid w:val="00BB545E"/>
    <w:pPr>
      <w:spacing w:before="120" w:after="120"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BB545E"/>
    <w:rPr>
      <w:rFonts w:ascii="Century Gothic" w:hAnsi="Century Gothic"/>
      <w:color w:val="093C61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91399"/>
    <w:pPr>
      <w:numPr>
        <w:numId w:val="2"/>
      </w:numPr>
      <w:contextualSpacing/>
      <w:jc w:val="both"/>
    </w:pPr>
    <w:rPr>
      <w:rFonts w:ascii="Century Gothic" w:hAnsi="Century Gothic"/>
      <w:color w:val="093C61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paragraph" w:styleId="Header">
    <w:name w:val="header"/>
    <w:basedOn w:val="Normal"/>
    <w:link w:val="HeaderChar"/>
    <w:uiPriority w:val="99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F87"/>
  </w:style>
  <w:style w:type="paragraph" w:styleId="Footer">
    <w:name w:val="footer"/>
    <w:basedOn w:val="Normal"/>
    <w:link w:val="FooterChar"/>
    <w:unhideWhenUsed/>
    <w:rsid w:val="007E4F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E4F87"/>
  </w:style>
  <w:style w:type="character" w:customStyle="1" w:styleId="Heading2Char">
    <w:name w:val="Heading 2 Char"/>
    <w:basedOn w:val="DefaultParagraphFont"/>
    <w:link w:val="Heading2"/>
    <w:uiPriority w:val="9"/>
    <w:rsid w:val="009C0D9A"/>
    <w:rPr>
      <w:rFonts w:ascii="Montserrat" w:hAnsi="Montserrat"/>
      <w:b/>
      <w:bCs/>
      <w:color w:val="0064A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C917B1"/>
    <w:rPr>
      <w:color w:val="0000FF"/>
      <w:u w:val="single"/>
    </w:rPr>
  </w:style>
  <w:style w:type="table" w:customStyle="1" w:styleId="ACWATable">
    <w:name w:val="ACWA Table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/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shd w:val="clear" w:color="auto" w:fill="0064AA"/>
      </w:tcPr>
    </w:tblStylePr>
  </w:style>
  <w:style w:type="table" w:customStyle="1" w:styleId="ACWATable1">
    <w:name w:val="ACWA Table 1"/>
    <w:basedOn w:val="TableNormal"/>
    <w:uiPriority w:val="99"/>
    <w:rsid w:val="002206C7"/>
    <w:pPr>
      <w:spacing w:after="0" w:line="240" w:lineRule="auto"/>
    </w:pPr>
    <w:rPr>
      <w:rFonts w:ascii="Century Gothic" w:hAnsi="Century Gothic"/>
      <w:color w:val="093C61"/>
      <w:sz w:val="20"/>
    </w:rPr>
    <w:tblPr>
      <w:tblBorders>
        <w:top w:val="single" w:sz="4" w:space="0" w:color="093C61"/>
        <w:left w:val="single" w:sz="4" w:space="0" w:color="093C61"/>
        <w:bottom w:val="single" w:sz="4" w:space="0" w:color="093C61"/>
        <w:right w:val="single" w:sz="4" w:space="0" w:color="093C61"/>
        <w:insideH w:val="single" w:sz="4" w:space="0" w:color="093C61"/>
        <w:insideV w:val="single" w:sz="4" w:space="0" w:color="093C61"/>
      </w:tblBorders>
    </w:tblPr>
    <w:tblStylePr w:type="firstRow">
      <w:rPr>
        <w:rFonts w:ascii="Century Gothic" w:hAnsi="Century Gothic"/>
        <w:b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64AA"/>
      </w:tcPr>
    </w:tblStylePr>
  </w:style>
  <w:style w:type="table" w:styleId="TableGridLight">
    <w:name w:val="Grid Table Light"/>
    <w:basedOn w:val="TableNormal"/>
    <w:uiPriority w:val="40"/>
    <w:rsid w:val="002206C7"/>
    <w:pPr>
      <w:spacing w:after="0" w:line="240" w:lineRule="auto"/>
    </w:pPr>
    <w:rPr>
      <w:rFonts w:ascii="Montserrat" w:hAnsi="Montserrat"/>
    </w:rPr>
    <w:tblPr/>
  </w:style>
  <w:style w:type="character" w:customStyle="1" w:styleId="Heading3Char">
    <w:name w:val="Heading 3 Char"/>
    <w:basedOn w:val="DefaultParagraphFont"/>
    <w:link w:val="Heading3"/>
    <w:uiPriority w:val="9"/>
    <w:rsid w:val="00773F74"/>
    <w:rPr>
      <w:rFonts w:ascii="Century Gothic" w:hAnsi="Century Gothic"/>
      <w:b/>
      <w:bCs/>
      <w:color w:val="093C61"/>
      <w:sz w:val="20"/>
      <w:szCs w:val="20"/>
      <w:u w:val="single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F9197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B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A9E1B-5B37-4D0E-855F-35F6C952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cp:lastPrinted>2023-10-12T05:14:00Z</cp:lastPrinted>
  <dcterms:created xsi:type="dcterms:W3CDTF">2023-10-19T19:21:00Z</dcterms:created>
  <dcterms:modified xsi:type="dcterms:W3CDTF">2023-10-19T19:24:00Z</dcterms:modified>
</cp:coreProperties>
</file>