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565C66" w:rsidP="00E3158A">
      <w:pPr>
        <w:pStyle w:val="Heading1"/>
      </w:pPr>
      <w:r>
        <w:t>SWM-0</w:t>
      </w:r>
      <w:r w:rsidR="00E3158A">
        <w:t>5</w:t>
      </w:r>
      <w:bookmarkStart w:id="0" w:name="_GoBack"/>
      <w:bookmarkEnd w:id="0"/>
      <w:r w:rsidR="0036398A">
        <w:t xml:space="preserve">. </w:t>
      </w:r>
      <w:r w:rsidR="002E09E1" w:rsidRPr="002E09E1">
        <w:t>Driving Guidelines</w:t>
      </w:r>
      <w:r w:rsidR="0036398A" w:rsidRPr="002E09E1">
        <w:t xml:space="preserve"> </w:t>
      </w:r>
      <w:r w:rsidR="0036398A">
        <w:t>SWMS</w:t>
      </w:r>
    </w:p>
    <w:p w:rsidR="005B575A" w:rsidRPr="004A3769" w:rsidRDefault="00050753" w:rsidP="006E4307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>
        <w:rPr>
          <w:noProof/>
          <w:lang w:val="de-LI"/>
        </w:rPr>
        <w:drawing>
          <wp:anchor distT="0" distB="0" distL="114300" distR="114300" simplePos="0" relativeHeight="251658240" behindDoc="0" locked="0" layoutInCell="1" allowOverlap="1" wp14:anchorId="27B4F2B2" wp14:editId="63CF51B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75080" cy="955675"/>
            <wp:effectExtent l="0" t="0" r="1270" b="0"/>
            <wp:wrapSquare wrapText="bothSides"/>
            <wp:docPr id="1" name="Picture 1" descr="\\Eastmen-d32cceb\el server\Active Files\CurrentBusinesses\Immediate Businesses\ACWA\Apco Photos\Photo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Eastmen-d32cceb\el server\Active Files\CurrentBusinesses\Immediate Businesses\ACWA\Apco Photos\Photo 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5B575A">
        <w:rPr>
          <w:rFonts w:ascii="Montserrat" w:hAnsi="Montserrat"/>
          <w:b/>
          <w:bCs/>
          <w:color w:val="0064AA"/>
        </w:rPr>
        <w:t>ACWA</w:t>
      </w:r>
      <w:r w:rsidR="007255C6">
        <w:rPr>
          <w:rFonts w:ascii="Montserrat" w:hAnsi="Montserrat"/>
          <w:b/>
          <w:bCs/>
          <w:color w:val="0064AA"/>
        </w:rPr>
        <w:t xml:space="preserve">: </w:t>
      </w:r>
      <w:r w:rsidR="00684491" w:rsidRPr="00684491">
        <w:rPr>
          <w:rFonts w:ascii="Montserrat" w:hAnsi="Montserrat"/>
          <w:b/>
          <w:bCs/>
          <w:color w:val="0064AA"/>
        </w:rPr>
        <w:t xml:space="preserve">Safe Work Method –  </w:t>
      </w:r>
      <w:r w:rsidR="006E4307" w:rsidRPr="006E4307">
        <w:rPr>
          <w:rFonts w:ascii="Montserrat" w:hAnsi="Montserrat"/>
          <w:b/>
          <w:bCs/>
          <w:color w:val="0064AA"/>
        </w:rPr>
        <w:t>Driving Guidelines</w:t>
      </w:r>
    </w:p>
    <w:p w:rsidR="00A11FA2" w:rsidRDefault="00CB3822" w:rsidP="00A11FA2">
      <w:pPr>
        <w:pStyle w:val="BodyText"/>
      </w:pPr>
      <w:r w:rsidRPr="00565C66">
        <w:rPr>
          <w:b/>
          <w:bCs/>
        </w:rPr>
        <w:t>Note:</w:t>
      </w:r>
      <w:r>
        <w:t xml:space="preserve"> </w:t>
      </w:r>
      <w:r w:rsidR="00A11FA2" w:rsidRPr="00A11FA2">
        <w:t xml:space="preserve">This Safe Work Method only provides guidance information and may not necessarily cover all possible hazards and should be used with other references </w:t>
      </w:r>
    </w:p>
    <w:p w:rsidR="00D36310" w:rsidRPr="00565C66" w:rsidRDefault="00CB3822" w:rsidP="00A11FA2">
      <w:pPr>
        <w:pStyle w:val="BodyText"/>
        <w:rPr>
          <w:b/>
          <w:bCs/>
        </w:rPr>
      </w:pPr>
      <w:r w:rsidRPr="00565C66">
        <w:rPr>
          <w:b/>
          <w:bCs/>
        </w:rPr>
        <w:t>Date: August/2023</w:t>
      </w:r>
      <w:r w:rsidR="00D36310" w:rsidRPr="00565C66">
        <w:rPr>
          <w:b/>
          <w:bCs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403"/>
        <w:gridCol w:w="5613"/>
      </w:tblGrid>
      <w:tr w:rsidR="00C9519B" w:rsidRPr="00C9519B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:rsidR="00C9519B" w:rsidRPr="00C9519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9519B">
              <w:rPr>
                <w:sz w:val="24"/>
                <w:szCs w:val="24"/>
              </w:rPr>
              <w:t>Risk Assessment</w:t>
            </w:r>
          </w:p>
        </w:tc>
      </w:tr>
      <w:tr w:rsidR="00C9519B" w:rsidRPr="00C9519B" w:rsidTr="00F26FDA">
        <w:trPr>
          <w:trHeight w:val="144"/>
        </w:trPr>
        <w:tc>
          <w:tcPr>
            <w:tcW w:w="1887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3113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>Risk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>Entering/leaving the vehicle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Slips and falls.</w:t>
            </w:r>
          </w:p>
          <w:p w:rsidR="00F674CD" w:rsidRPr="00684491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Contact by passing traffic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>Driver distraction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Injury from vehicle accident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>Hazardous driving conditions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Injury from vehicle accident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>Unsafe vehicle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Injury from vehicle accident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 xml:space="preserve">Fatigue 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Injury from vehicle accident</w:t>
            </w:r>
          </w:p>
        </w:tc>
      </w:tr>
      <w:tr w:rsidR="00F674CD" w:rsidRPr="00565C66" w:rsidTr="00892190">
        <w:trPr>
          <w:trHeight w:val="299"/>
        </w:trPr>
        <w:tc>
          <w:tcPr>
            <w:tcW w:w="1887" w:type="pct"/>
          </w:tcPr>
          <w:p w:rsidR="00F674CD" w:rsidRDefault="00F674CD" w:rsidP="00F674CD">
            <w:pPr>
              <w:spacing w:line="300" w:lineRule="exact"/>
            </w:pPr>
            <w:r>
              <w:t>Unsafe driving</w:t>
            </w:r>
          </w:p>
        </w:tc>
        <w:tc>
          <w:tcPr>
            <w:tcW w:w="3113" w:type="pct"/>
          </w:tcPr>
          <w:p w:rsidR="00F674CD" w:rsidRPr="00F674CD" w:rsidRDefault="00F674CD" w:rsidP="00F674CD">
            <w:pPr>
              <w:numPr>
                <w:ilvl w:val="0"/>
                <w:numId w:val="1"/>
              </w:numPr>
              <w:tabs>
                <w:tab w:val="num" w:pos="492"/>
                <w:tab w:val="center" w:pos="4153"/>
                <w:tab w:val="right" w:pos="8306"/>
              </w:tabs>
              <w:rPr>
                <w:lang w:val="en-US"/>
              </w:rPr>
            </w:pPr>
            <w:r w:rsidRPr="00F674CD">
              <w:rPr>
                <w:lang w:val="en-US"/>
              </w:rPr>
              <w:t>Injury from vehicle accident</w:t>
            </w:r>
          </w:p>
        </w:tc>
      </w:tr>
    </w:tbl>
    <w:p w:rsidR="00D36310" w:rsidRDefault="00244F12" w:rsidP="00613F4F">
      <w:pPr>
        <w:pStyle w:val="Heading2"/>
      </w:pPr>
      <w:r w:rsidRPr="00244F12">
        <w:rPr>
          <w:lang w:val="en-AU"/>
        </w:rPr>
        <w:t>Driving Safely</w:t>
      </w:r>
      <w:r w:rsidR="00613F4F" w:rsidRPr="00613F4F">
        <w:rPr>
          <w:lang w:val="en-AU"/>
        </w:rPr>
        <w:t xml:space="preserve"> </w:t>
      </w:r>
    </w:p>
    <w:p w:rsidR="00244F12" w:rsidRDefault="00244F12" w:rsidP="00244F12">
      <w:pPr>
        <w:pStyle w:val="ListParagraph"/>
      </w:pPr>
      <w:r>
        <w:t>Exercise care when alighting from your vehicle. Always check for passing traffic,</w:t>
      </w:r>
    </w:p>
    <w:p w:rsidR="00244F12" w:rsidRDefault="00244F12" w:rsidP="00244F12">
      <w:pPr>
        <w:pStyle w:val="ListParagraph"/>
      </w:pPr>
      <w:r>
        <w:t>Always stop the vehicle from reading or writing information such as logbook entries, work notes or use of the mobile phone (unless hands-free),</w:t>
      </w:r>
    </w:p>
    <w:p w:rsidR="00244F12" w:rsidRDefault="00244F12" w:rsidP="00244F12">
      <w:pPr>
        <w:pStyle w:val="ListParagraph"/>
      </w:pPr>
      <w:r>
        <w:t>When using a portable hands-free phone, make sure it is set up and working before you start to drive,</w:t>
      </w:r>
    </w:p>
    <w:p w:rsidR="00244F12" w:rsidRDefault="00244F12" w:rsidP="00244F12">
      <w:pPr>
        <w:pStyle w:val="ListParagraph"/>
      </w:pPr>
      <w:r>
        <w:t>Never compose or read SMS text messages whilst driving,</w:t>
      </w:r>
    </w:p>
    <w:p w:rsidR="00244F12" w:rsidRDefault="00244F12" w:rsidP="00244F12">
      <w:pPr>
        <w:pStyle w:val="ListParagraph"/>
      </w:pPr>
      <w:r>
        <w:t>Never accept or make phone calls if traffic and weather conditions would make it unsafe to do so (e.g., wet, foggy, or frosty weather),</w:t>
      </w:r>
    </w:p>
    <w:p w:rsidR="00244F12" w:rsidRDefault="00244F12" w:rsidP="00244F12">
      <w:pPr>
        <w:pStyle w:val="ListParagraph"/>
      </w:pPr>
      <w:r>
        <w:t>Avoid engaging in complex or emotional phone conversations. Hang up and continue later when it is safe to do so,</w:t>
      </w:r>
    </w:p>
    <w:p w:rsidR="00244F12" w:rsidRDefault="00244F12" w:rsidP="00244F12">
      <w:pPr>
        <w:pStyle w:val="ListParagraph"/>
      </w:pPr>
      <w:r>
        <w:t xml:space="preserve">Reduce the concentration needed to make and receive a call. </w:t>
      </w:r>
      <w:proofErr w:type="spellStart"/>
      <w:r>
        <w:t>Familiarise</w:t>
      </w:r>
      <w:proofErr w:type="spellEnd"/>
      <w:r>
        <w:t xml:space="preserve"> yourself with the hands-free speed dial and redial features of your phone,</w:t>
      </w:r>
    </w:p>
    <w:p w:rsidR="00244F12" w:rsidRDefault="00244F12" w:rsidP="00244F12">
      <w:pPr>
        <w:pStyle w:val="ListParagraph"/>
      </w:pPr>
      <w:r>
        <w:t>Always drive the vehicle carefully and at a safe speed, particularly on inferior roads/surfaces and over rough terrain,</w:t>
      </w:r>
    </w:p>
    <w:p w:rsidR="00244F12" w:rsidRDefault="00244F12" w:rsidP="00244F12">
      <w:pPr>
        <w:pStyle w:val="ListParagraph"/>
      </w:pPr>
      <w:r>
        <w:t>Avoid stopping on freeways, highways, or busy roads. When possible, use wayside stop areas or pull over in an area to ensure no hazard to yourself, other traffic, or pedestrians,</w:t>
      </w:r>
    </w:p>
    <w:p w:rsidR="00244F12" w:rsidRDefault="00244F12" w:rsidP="00244F12">
      <w:pPr>
        <w:pStyle w:val="ListParagraph"/>
      </w:pPr>
      <w:r>
        <w:t>Take breaks as required. Use breaks to make phone calls, catch up on written work and eat meals or snacks,</w:t>
      </w:r>
    </w:p>
    <w:p w:rsidR="00244F12" w:rsidRDefault="00244F12" w:rsidP="00244F12">
      <w:pPr>
        <w:pStyle w:val="ListParagraph"/>
      </w:pPr>
      <w:r>
        <w:t xml:space="preserve">Perform regular </w:t>
      </w:r>
      <w:proofErr w:type="spellStart"/>
      <w:r>
        <w:t>tyre</w:t>
      </w:r>
      <w:proofErr w:type="spellEnd"/>
      <w:r>
        <w:t xml:space="preserve"> and wheel checks, including damage or wear,</w:t>
      </w:r>
    </w:p>
    <w:p w:rsidR="00244F12" w:rsidRDefault="00244F12" w:rsidP="00244F12">
      <w:pPr>
        <w:pStyle w:val="ListParagraph"/>
      </w:pPr>
      <w:r>
        <w:t>Keep your windscreen and mirrors clean and clear at all times,</w:t>
      </w:r>
    </w:p>
    <w:p w:rsidR="00244F12" w:rsidRDefault="00244F12" w:rsidP="00244F12">
      <w:pPr>
        <w:pStyle w:val="ListParagraph"/>
      </w:pPr>
      <w:r>
        <w:t xml:space="preserve">Abide by State laws in relation to drug and alcohol use. Avoid alcohol consumption before a long drive or if you are tired. Follow directions in relation to the use of any medication which may cause drowsiness, </w:t>
      </w:r>
    </w:p>
    <w:p w:rsidR="00244F12" w:rsidRDefault="00244F12" w:rsidP="00244F12">
      <w:pPr>
        <w:pStyle w:val="ListParagraph"/>
      </w:pPr>
      <w:r>
        <w:t>Keep the volume of the radio or other in-cabin noise at a level to allow alertness to traffic warning signals, e.g., train crossings, ambulances,</w:t>
      </w:r>
    </w:p>
    <w:p w:rsidR="00244F12" w:rsidRDefault="00244F12" w:rsidP="00244F12">
      <w:pPr>
        <w:pStyle w:val="ListParagraph"/>
      </w:pPr>
      <w:r>
        <w:t>Constantly adjust your driving habits according to the conditions. Drive with extra care during times of reduced visibility and when road or site conditions are hazardous,</w:t>
      </w:r>
    </w:p>
    <w:p w:rsidR="00244F12" w:rsidRDefault="00244F12" w:rsidP="00244F12">
      <w:pPr>
        <w:pStyle w:val="ListParagraph"/>
      </w:pPr>
      <w:r>
        <w:t>At all times, observe and abide by the Road Rules.</w:t>
      </w:r>
    </w:p>
    <w:sectPr w:rsidR="00244F12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0E" w:rsidRDefault="0004660E" w:rsidP="007E4F87">
      <w:pPr>
        <w:spacing w:after="0" w:line="240" w:lineRule="auto"/>
      </w:pPr>
      <w:r>
        <w:separator/>
      </w:r>
    </w:p>
  </w:endnote>
  <w:endnote w:type="continuationSeparator" w:id="0">
    <w:p w:rsidR="0004660E" w:rsidRDefault="0004660E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E3158A" w:rsidRPr="00E3158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E3158A" w:rsidRPr="00E3158A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0E" w:rsidRDefault="0004660E" w:rsidP="007E4F87">
      <w:pPr>
        <w:spacing w:after="0" w:line="240" w:lineRule="auto"/>
      </w:pPr>
      <w:r>
        <w:separator/>
      </w:r>
    </w:p>
  </w:footnote>
  <w:footnote w:type="continuationSeparator" w:id="0">
    <w:p w:rsidR="0004660E" w:rsidRDefault="0004660E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7026B5" w:rsidP="00F351C6">
          <w:pPr>
            <w:pStyle w:val="Header"/>
          </w:pPr>
          <w:r>
            <w:rPr>
              <w:color w:val="093C61"/>
              <w:sz w:val="16"/>
              <w:szCs w:val="16"/>
            </w:rPr>
            <w:t>Date: June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6AD"/>
    <w:multiLevelType w:val="hybridMultilevel"/>
    <w:tmpl w:val="56740F3E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543666F1"/>
    <w:multiLevelType w:val="hybridMultilevel"/>
    <w:tmpl w:val="030068E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254EC"/>
    <w:rsid w:val="000442D7"/>
    <w:rsid w:val="0004660E"/>
    <w:rsid w:val="00050753"/>
    <w:rsid w:val="000A7D66"/>
    <w:rsid w:val="000B2D64"/>
    <w:rsid w:val="000D3FCF"/>
    <w:rsid w:val="000F1647"/>
    <w:rsid w:val="00140648"/>
    <w:rsid w:val="001624D5"/>
    <w:rsid w:val="00186C70"/>
    <w:rsid w:val="00197943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84D32"/>
    <w:rsid w:val="002A1349"/>
    <w:rsid w:val="002B3465"/>
    <w:rsid w:val="002E09E1"/>
    <w:rsid w:val="002F4CA2"/>
    <w:rsid w:val="00344F54"/>
    <w:rsid w:val="003609F4"/>
    <w:rsid w:val="0036398A"/>
    <w:rsid w:val="0038224B"/>
    <w:rsid w:val="003E43EF"/>
    <w:rsid w:val="003F2BAB"/>
    <w:rsid w:val="00472381"/>
    <w:rsid w:val="00476AA0"/>
    <w:rsid w:val="00477011"/>
    <w:rsid w:val="004A3769"/>
    <w:rsid w:val="004C398C"/>
    <w:rsid w:val="004E25C3"/>
    <w:rsid w:val="004F5510"/>
    <w:rsid w:val="005035C3"/>
    <w:rsid w:val="00521035"/>
    <w:rsid w:val="005335EB"/>
    <w:rsid w:val="005506FE"/>
    <w:rsid w:val="00560469"/>
    <w:rsid w:val="00565C66"/>
    <w:rsid w:val="005B575A"/>
    <w:rsid w:val="005C414A"/>
    <w:rsid w:val="005E567B"/>
    <w:rsid w:val="00613F4F"/>
    <w:rsid w:val="00684491"/>
    <w:rsid w:val="00685C9F"/>
    <w:rsid w:val="006874E1"/>
    <w:rsid w:val="006B2A8F"/>
    <w:rsid w:val="006B3978"/>
    <w:rsid w:val="006B726E"/>
    <w:rsid w:val="006E1A2C"/>
    <w:rsid w:val="006E4307"/>
    <w:rsid w:val="006E6928"/>
    <w:rsid w:val="007026B5"/>
    <w:rsid w:val="00717843"/>
    <w:rsid w:val="007255C6"/>
    <w:rsid w:val="00746D97"/>
    <w:rsid w:val="00747DCC"/>
    <w:rsid w:val="007500CE"/>
    <w:rsid w:val="0076365E"/>
    <w:rsid w:val="00773E2A"/>
    <w:rsid w:val="00773F74"/>
    <w:rsid w:val="00795EB9"/>
    <w:rsid w:val="007D35C5"/>
    <w:rsid w:val="007E4F87"/>
    <w:rsid w:val="00816186"/>
    <w:rsid w:val="00826B22"/>
    <w:rsid w:val="008949A6"/>
    <w:rsid w:val="008A63FF"/>
    <w:rsid w:val="008C67E4"/>
    <w:rsid w:val="008E074B"/>
    <w:rsid w:val="008E4D06"/>
    <w:rsid w:val="00907748"/>
    <w:rsid w:val="009C0D9A"/>
    <w:rsid w:val="00A11FA2"/>
    <w:rsid w:val="00A12765"/>
    <w:rsid w:val="00A275B5"/>
    <w:rsid w:val="00A63D44"/>
    <w:rsid w:val="00A858AA"/>
    <w:rsid w:val="00A91399"/>
    <w:rsid w:val="00AE23B3"/>
    <w:rsid w:val="00B03939"/>
    <w:rsid w:val="00B21AD6"/>
    <w:rsid w:val="00B40E60"/>
    <w:rsid w:val="00B636BE"/>
    <w:rsid w:val="00BB545E"/>
    <w:rsid w:val="00C17532"/>
    <w:rsid w:val="00C330AC"/>
    <w:rsid w:val="00C54C55"/>
    <w:rsid w:val="00C655E4"/>
    <w:rsid w:val="00C6790D"/>
    <w:rsid w:val="00C77EB5"/>
    <w:rsid w:val="00C917B1"/>
    <w:rsid w:val="00C9519B"/>
    <w:rsid w:val="00CB3822"/>
    <w:rsid w:val="00CB59DA"/>
    <w:rsid w:val="00D36310"/>
    <w:rsid w:val="00D64C1E"/>
    <w:rsid w:val="00D80A5C"/>
    <w:rsid w:val="00DB1AFF"/>
    <w:rsid w:val="00DC4BAB"/>
    <w:rsid w:val="00DF4E68"/>
    <w:rsid w:val="00DF66F8"/>
    <w:rsid w:val="00E1791E"/>
    <w:rsid w:val="00E23CF9"/>
    <w:rsid w:val="00E3158A"/>
    <w:rsid w:val="00E448D4"/>
    <w:rsid w:val="00E66226"/>
    <w:rsid w:val="00E92F62"/>
    <w:rsid w:val="00EB2847"/>
    <w:rsid w:val="00EC5758"/>
    <w:rsid w:val="00F005D9"/>
    <w:rsid w:val="00F26FDA"/>
    <w:rsid w:val="00F351C6"/>
    <w:rsid w:val="00F50691"/>
    <w:rsid w:val="00F674CD"/>
    <w:rsid w:val="00F7008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5528A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BD76-5959-4449-9B8F-42FC376C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2023-10-12T05:14:00Z</cp:lastPrinted>
  <dcterms:created xsi:type="dcterms:W3CDTF">2023-10-19T19:03:00Z</dcterms:created>
  <dcterms:modified xsi:type="dcterms:W3CDTF">2023-10-20T06:38:00Z</dcterms:modified>
</cp:coreProperties>
</file>