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F61FE7" w:rsidP="00E45459">
      <w:pPr>
        <w:pStyle w:val="Heading1"/>
      </w:pPr>
      <w:r>
        <w:t>Form-05</w:t>
      </w:r>
      <w:r w:rsidR="00D36310" w:rsidRPr="00D36310">
        <w:t xml:space="preserve">. </w:t>
      </w:r>
      <w:r w:rsidRPr="00F61FE7">
        <w:t>Electrical Testing and Tagging Intervals</w:t>
      </w:r>
    </w:p>
    <w:tbl>
      <w:tblPr>
        <w:tblW w:w="5000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4A0" w:firstRow="1" w:lastRow="0" w:firstColumn="1" w:lastColumn="0" w:noHBand="0" w:noVBand="1"/>
      </w:tblPr>
      <w:tblGrid>
        <w:gridCol w:w="4989"/>
        <w:gridCol w:w="1911"/>
        <w:gridCol w:w="1816"/>
        <w:gridCol w:w="1459"/>
        <w:gridCol w:w="1579"/>
        <w:gridCol w:w="1443"/>
        <w:gridCol w:w="1126"/>
        <w:gridCol w:w="1065"/>
      </w:tblGrid>
      <w:tr w:rsidR="00891A4F" w:rsidRPr="00B80BC0" w:rsidTr="00531F49">
        <w:trPr>
          <w:trHeight w:val="20"/>
          <w:jc w:val="center"/>
        </w:trPr>
        <w:tc>
          <w:tcPr>
            <w:tcW w:w="1621" w:type="pct"/>
            <w:vMerge w:val="restart"/>
            <w:shd w:val="clear" w:color="auto" w:fill="0064AA"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Cs/>
                <w:color w:val="FFFFFF" w:themeColor="background1"/>
                <w:kern w:val="28"/>
                <w:sz w:val="24"/>
                <w:szCs w:val="24"/>
                <w:lang w:val="en-US"/>
              </w:rPr>
            </w:pPr>
            <w:bookmarkStart w:id="0" w:name="_GoBack"/>
            <w:r w:rsidRPr="00B80BC0">
              <w:rPr>
                <w:rStyle w:val="Strong"/>
                <w:rFonts w:ascii="Century Gothic" w:hAnsi="Century Gothic"/>
                <w:bCs/>
                <w:color w:val="FFFFFF" w:themeColor="background1"/>
                <w:kern w:val="28"/>
                <w:sz w:val="24"/>
                <w:szCs w:val="24"/>
                <w:lang w:val="en-US"/>
              </w:rPr>
              <w:t>Type of environment in which equipment is used</w:t>
            </w:r>
          </w:p>
        </w:tc>
        <w:tc>
          <w:tcPr>
            <w:tcW w:w="3379" w:type="pct"/>
            <w:gridSpan w:val="7"/>
            <w:shd w:val="clear" w:color="auto" w:fill="0064AA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4"/>
                <w:szCs w:val="24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4"/>
                <w:szCs w:val="24"/>
                <w:lang w:val="en-US"/>
              </w:rPr>
              <w:t>The interval between inspection and tests</w:t>
            </w:r>
          </w:p>
        </w:tc>
      </w:tr>
      <w:tr w:rsidR="001E4FC8" w:rsidRPr="00B80BC0" w:rsidTr="00531F49">
        <w:trPr>
          <w:trHeight w:val="20"/>
          <w:jc w:val="center"/>
        </w:trPr>
        <w:tc>
          <w:tcPr>
            <w:tcW w:w="1621" w:type="pct"/>
            <w:vMerge/>
            <w:shd w:val="clear" w:color="auto" w:fill="0064AA"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11" w:type="pct"/>
            <w:gridSpan w:val="2"/>
            <w:shd w:val="clear" w:color="auto" w:fill="0064AA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4"/>
                <w:szCs w:val="24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4"/>
                <w:szCs w:val="24"/>
                <w:lang w:val="en-US"/>
              </w:rPr>
              <w:t>Class of Equipment</w:t>
            </w:r>
          </w:p>
        </w:tc>
        <w:tc>
          <w:tcPr>
            <w:tcW w:w="1822" w:type="pct"/>
            <w:gridSpan w:val="4"/>
            <w:shd w:val="clear" w:color="auto" w:fill="0064AA"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 w:cstheme="majorHAnsi"/>
                <w:b/>
                <w:bCs/>
                <w:color w:val="FFFFFF" w:themeColor="background1"/>
                <w:kern w:val="28"/>
                <w:sz w:val="24"/>
                <w:szCs w:val="24"/>
                <w:lang w:val="en-US"/>
              </w:rPr>
            </w:pPr>
            <w:r w:rsidRPr="00B80BC0">
              <w:rPr>
                <w:rFonts w:ascii="Century Gothic" w:hAnsi="Century Gothic" w:cstheme="majorHAnsi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Residual Current Devices (RCDs)</w:t>
            </w:r>
          </w:p>
        </w:tc>
        <w:tc>
          <w:tcPr>
            <w:tcW w:w="346" w:type="pct"/>
            <w:vMerge w:val="restart"/>
            <w:shd w:val="clear" w:color="auto" w:fill="0064AA"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"/>
              <w:jc w:val="center"/>
              <w:outlineLvl w:val="3"/>
              <w:rPr>
                <w:rFonts w:ascii="Century Gothic" w:hAnsi="Century Gothic" w:cstheme="majorHAnsi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  <w:r w:rsidRPr="00B80BC0">
              <w:rPr>
                <w:rFonts w:ascii="Century Gothic" w:hAnsi="Century Gothic" w:cstheme="majorHAnsi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Cord sets and power boards</w:t>
            </w:r>
          </w:p>
        </w:tc>
      </w:tr>
      <w:tr w:rsidR="00891A4F" w:rsidRPr="00B80BC0" w:rsidTr="00531F49">
        <w:trPr>
          <w:trHeight w:val="20"/>
          <w:jc w:val="center"/>
        </w:trPr>
        <w:tc>
          <w:tcPr>
            <w:tcW w:w="1621" w:type="pct"/>
            <w:vMerge/>
            <w:shd w:val="clear" w:color="auto" w:fill="0064AA"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lang w:val="en-US"/>
              </w:rPr>
            </w:pPr>
          </w:p>
        </w:tc>
        <w:tc>
          <w:tcPr>
            <w:tcW w:w="621" w:type="pct"/>
            <w:vMerge w:val="restart"/>
            <w:shd w:val="clear" w:color="auto" w:fill="0064AA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Class I (protectively earthed)</w:t>
            </w:r>
          </w:p>
        </w:tc>
        <w:tc>
          <w:tcPr>
            <w:tcW w:w="590" w:type="pct"/>
            <w:vMerge w:val="restart"/>
            <w:shd w:val="clear" w:color="auto" w:fill="0064AA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Class II (double insulated)</w:t>
            </w:r>
          </w:p>
        </w:tc>
        <w:tc>
          <w:tcPr>
            <w:tcW w:w="987" w:type="pct"/>
            <w:gridSpan w:val="2"/>
            <w:shd w:val="clear" w:color="auto" w:fill="0064AA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Push-button test (by user)</w:t>
            </w:r>
          </w:p>
        </w:tc>
        <w:tc>
          <w:tcPr>
            <w:tcW w:w="835" w:type="pct"/>
            <w:gridSpan w:val="2"/>
            <w:shd w:val="clear" w:color="auto" w:fill="0064AA"/>
            <w:tcMar>
              <w:left w:w="28" w:type="dxa"/>
              <w:right w:w="28" w:type="dxa"/>
            </w:tcMar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3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Test for operation by electrician</w:t>
            </w:r>
          </w:p>
        </w:tc>
        <w:tc>
          <w:tcPr>
            <w:tcW w:w="346" w:type="pct"/>
            <w:vMerge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kern w:val="28"/>
                <w:lang w:val="en-US"/>
              </w:rPr>
            </w:pPr>
          </w:p>
        </w:tc>
      </w:tr>
      <w:tr w:rsidR="00531F49" w:rsidRPr="00B80BC0" w:rsidTr="00531F49">
        <w:trPr>
          <w:trHeight w:val="20"/>
          <w:jc w:val="center"/>
        </w:trPr>
        <w:tc>
          <w:tcPr>
            <w:tcW w:w="1621" w:type="pct"/>
            <w:vMerge/>
            <w:shd w:val="clear" w:color="auto" w:fill="0064AA"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lang w:val="en-US"/>
              </w:rPr>
            </w:pPr>
          </w:p>
        </w:tc>
        <w:tc>
          <w:tcPr>
            <w:tcW w:w="621" w:type="pct"/>
            <w:vMerge/>
            <w:shd w:val="clear" w:color="auto" w:fill="0064AA"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590" w:type="pct"/>
            <w:vMerge/>
            <w:shd w:val="clear" w:color="auto" w:fill="0064AA"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0064AA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Portable</w:t>
            </w:r>
          </w:p>
        </w:tc>
        <w:tc>
          <w:tcPr>
            <w:tcW w:w="513" w:type="pct"/>
            <w:shd w:val="clear" w:color="auto" w:fill="0064AA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Fixed</w:t>
            </w:r>
          </w:p>
        </w:tc>
        <w:tc>
          <w:tcPr>
            <w:tcW w:w="469" w:type="pct"/>
            <w:shd w:val="clear" w:color="auto" w:fill="0064AA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Portable</w:t>
            </w:r>
          </w:p>
        </w:tc>
        <w:tc>
          <w:tcPr>
            <w:tcW w:w="366" w:type="pct"/>
            <w:shd w:val="clear" w:color="auto" w:fill="0064AA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</w:pPr>
            <w:r w:rsidRPr="00B80BC0"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:lang w:val="en-US"/>
              </w:rPr>
              <w:t>Fixed</w:t>
            </w:r>
          </w:p>
        </w:tc>
        <w:tc>
          <w:tcPr>
            <w:tcW w:w="346" w:type="pct"/>
            <w:vMerge/>
            <w:vAlign w:val="center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8"/>
              <w:jc w:val="center"/>
              <w:outlineLvl w:val="3"/>
              <w:rPr>
                <w:rFonts w:ascii="Century Gothic" w:hAnsi="Century Gothic"/>
                <w:b/>
                <w:bCs/>
                <w:kern w:val="28"/>
                <w:lang w:val="en-US"/>
              </w:rPr>
            </w:pPr>
          </w:p>
        </w:tc>
      </w:tr>
      <w:tr w:rsidR="00891A4F" w:rsidRPr="00B80BC0" w:rsidTr="00531F49">
        <w:trPr>
          <w:trHeight w:val="20"/>
          <w:jc w:val="center"/>
        </w:trPr>
        <w:tc>
          <w:tcPr>
            <w:tcW w:w="1621" w:type="pct"/>
            <w:shd w:val="clear" w:color="auto" w:fill="FFFFFF" w:themeFill="background1"/>
            <w:hideMark/>
          </w:tcPr>
          <w:p w:rsidR="00891A4F" w:rsidRPr="00B80BC0" w:rsidRDefault="00891A4F" w:rsidP="00891A4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entury Gothic" w:hAnsi="Century Gothic"/>
                <w:color w:val="093C61"/>
                <w:sz w:val="20"/>
                <w:lang w:val="en-US"/>
              </w:rPr>
            </w:pPr>
            <w:r w:rsidRPr="00B80BC0">
              <w:rPr>
                <w:rFonts w:ascii="Century Gothic" w:hAnsi="Century Gothic"/>
                <w:color w:val="093C61"/>
                <w:sz w:val="20"/>
                <w:lang w:val="en-US"/>
              </w:rPr>
              <w:t xml:space="preserve">1/. Factories, workshops and places of manufacture, repair, assembly, maintenance or fabrication 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Six months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4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Daily, or before every use, whichever is the longer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Six months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Six months</w:t>
            </w:r>
          </w:p>
        </w:tc>
      </w:tr>
      <w:tr w:rsidR="00531F49" w:rsidRPr="00B80BC0" w:rsidTr="00531F49">
        <w:trPr>
          <w:trHeight w:val="20"/>
          <w:jc w:val="center"/>
        </w:trPr>
        <w:tc>
          <w:tcPr>
            <w:tcW w:w="1621" w:type="pct"/>
            <w:shd w:val="clear" w:color="auto" w:fill="FFFFFF" w:themeFill="background1"/>
            <w:hideMark/>
          </w:tcPr>
          <w:p w:rsidR="00891A4F" w:rsidRPr="00B80BC0" w:rsidRDefault="00891A4F" w:rsidP="00891A4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entury Gothic" w:hAnsi="Century Gothic"/>
                <w:color w:val="093C61"/>
                <w:sz w:val="20"/>
                <w:lang w:val="en-US"/>
              </w:rPr>
            </w:pPr>
            <w:r w:rsidRPr="00B80BC0">
              <w:rPr>
                <w:rFonts w:ascii="Century Gothic" w:hAnsi="Century Gothic"/>
                <w:color w:val="093C61"/>
                <w:sz w:val="20"/>
                <w:lang w:val="en-US"/>
              </w:rPr>
              <w:t>2/. The environment where the equipment or supply flexible cord is subject to flexing in normal use OR is open to abuse OR is in a hostile environment</w:t>
            </w:r>
          </w:p>
        </w:tc>
        <w:tc>
          <w:tcPr>
            <w:tcW w:w="621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590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474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Three months</w:t>
            </w:r>
          </w:p>
        </w:tc>
        <w:tc>
          <w:tcPr>
            <w:tcW w:w="513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Six months</w:t>
            </w:r>
          </w:p>
        </w:tc>
        <w:tc>
          <w:tcPr>
            <w:tcW w:w="469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366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346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</w:tr>
      <w:tr w:rsidR="00531F49" w:rsidRPr="00B80BC0" w:rsidTr="00531F49">
        <w:trPr>
          <w:trHeight w:val="20"/>
          <w:jc w:val="center"/>
        </w:trPr>
        <w:tc>
          <w:tcPr>
            <w:tcW w:w="1621" w:type="pct"/>
            <w:shd w:val="clear" w:color="auto" w:fill="FFFFFF" w:themeFill="background1"/>
            <w:hideMark/>
          </w:tcPr>
          <w:p w:rsidR="00891A4F" w:rsidRPr="00B80BC0" w:rsidRDefault="00891A4F" w:rsidP="00891A4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entury Gothic" w:hAnsi="Century Gothic"/>
                <w:color w:val="093C61"/>
                <w:sz w:val="20"/>
                <w:lang w:val="en-US"/>
              </w:rPr>
            </w:pPr>
            <w:r w:rsidRPr="00B80BC0">
              <w:rPr>
                <w:rFonts w:ascii="Century Gothic" w:hAnsi="Century Gothic"/>
                <w:color w:val="093C61"/>
                <w:sz w:val="20"/>
                <w:lang w:val="en-US"/>
              </w:rPr>
              <w:t>3/. The environment where the equipment or supply flexible cord is NOT subject to flexing in normal use and, is NOT open to abuse, and is NOT in a hostile environment</w:t>
            </w:r>
          </w:p>
        </w:tc>
        <w:tc>
          <w:tcPr>
            <w:tcW w:w="621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Five years</w:t>
            </w:r>
          </w:p>
        </w:tc>
        <w:tc>
          <w:tcPr>
            <w:tcW w:w="590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Five years</w:t>
            </w:r>
          </w:p>
        </w:tc>
        <w:tc>
          <w:tcPr>
            <w:tcW w:w="474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Three months</w:t>
            </w:r>
          </w:p>
        </w:tc>
        <w:tc>
          <w:tcPr>
            <w:tcW w:w="513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Six months</w:t>
            </w:r>
          </w:p>
        </w:tc>
        <w:tc>
          <w:tcPr>
            <w:tcW w:w="469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Two years</w:t>
            </w:r>
          </w:p>
        </w:tc>
        <w:tc>
          <w:tcPr>
            <w:tcW w:w="366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Two years</w:t>
            </w:r>
          </w:p>
        </w:tc>
        <w:tc>
          <w:tcPr>
            <w:tcW w:w="346" w:type="pct"/>
            <w:shd w:val="clear" w:color="auto" w:fill="FFC000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Five years</w:t>
            </w:r>
          </w:p>
        </w:tc>
      </w:tr>
      <w:tr w:rsidR="00891A4F" w:rsidRPr="00B80BC0" w:rsidTr="00531F49">
        <w:trPr>
          <w:trHeight w:val="20"/>
          <w:jc w:val="center"/>
        </w:trPr>
        <w:tc>
          <w:tcPr>
            <w:tcW w:w="1621" w:type="pct"/>
            <w:shd w:val="clear" w:color="auto" w:fill="FFFFFF" w:themeFill="background1"/>
            <w:hideMark/>
          </w:tcPr>
          <w:p w:rsidR="00891A4F" w:rsidRPr="00B80BC0" w:rsidRDefault="00891A4F" w:rsidP="00891A4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entury Gothic" w:hAnsi="Century Gothic"/>
                <w:color w:val="093C61"/>
                <w:sz w:val="20"/>
                <w:lang w:val="en-US"/>
              </w:rPr>
            </w:pPr>
            <w:r w:rsidRPr="00B80BC0">
              <w:rPr>
                <w:rFonts w:ascii="Century Gothic" w:hAnsi="Century Gothic"/>
                <w:color w:val="093C61"/>
                <w:sz w:val="20"/>
                <w:lang w:val="en-US"/>
              </w:rPr>
              <w:t>4/. Residential-type areas of hotels, residential institutions, motels, boarding houses, halls, hostels, accommodation houses and the like.</w:t>
            </w:r>
          </w:p>
        </w:tc>
        <w:tc>
          <w:tcPr>
            <w:tcW w:w="621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Two years</w:t>
            </w:r>
          </w:p>
        </w:tc>
        <w:tc>
          <w:tcPr>
            <w:tcW w:w="590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Two years</w:t>
            </w:r>
          </w:p>
        </w:tc>
        <w:tc>
          <w:tcPr>
            <w:tcW w:w="474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Six months</w:t>
            </w:r>
          </w:p>
        </w:tc>
        <w:tc>
          <w:tcPr>
            <w:tcW w:w="513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Six months</w:t>
            </w:r>
          </w:p>
        </w:tc>
        <w:tc>
          <w:tcPr>
            <w:tcW w:w="469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Two years</w:t>
            </w:r>
          </w:p>
        </w:tc>
        <w:tc>
          <w:tcPr>
            <w:tcW w:w="366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Two years</w:t>
            </w:r>
          </w:p>
        </w:tc>
        <w:tc>
          <w:tcPr>
            <w:tcW w:w="346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Two years</w:t>
            </w:r>
          </w:p>
        </w:tc>
      </w:tr>
      <w:tr w:rsidR="00891A4F" w:rsidRPr="00B80BC0" w:rsidTr="00531F49">
        <w:trPr>
          <w:trHeight w:val="20"/>
          <w:jc w:val="center"/>
        </w:trPr>
        <w:tc>
          <w:tcPr>
            <w:tcW w:w="1621" w:type="pct"/>
            <w:shd w:val="clear" w:color="auto" w:fill="FFFFFF" w:themeFill="background1"/>
            <w:hideMark/>
          </w:tcPr>
          <w:p w:rsidR="00891A4F" w:rsidRPr="00B80BC0" w:rsidRDefault="00891A4F" w:rsidP="00891A4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entury Gothic" w:hAnsi="Century Gothic"/>
                <w:color w:val="093C61"/>
                <w:sz w:val="20"/>
                <w:lang w:val="en-US"/>
              </w:rPr>
            </w:pPr>
            <w:r w:rsidRPr="00B80BC0">
              <w:rPr>
                <w:rFonts w:ascii="Century Gothic" w:hAnsi="Century Gothic"/>
                <w:color w:val="093C61"/>
                <w:sz w:val="20"/>
                <w:lang w:val="en-US"/>
              </w:rPr>
              <w:t>5/. Equipment used for commercial cleaning</w:t>
            </w:r>
          </w:p>
        </w:tc>
        <w:tc>
          <w:tcPr>
            <w:tcW w:w="621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Six months</w:t>
            </w:r>
          </w:p>
        </w:tc>
        <w:tc>
          <w:tcPr>
            <w:tcW w:w="590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474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Three months</w:t>
            </w:r>
          </w:p>
        </w:tc>
        <w:tc>
          <w:tcPr>
            <w:tcW w:w="513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N/A</w:t>
            </w:r>
          </w:p>
        </w:tc>
        <w:tc>
          <w:tcPr>
            <w:tcW w:w="469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366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N/A</w:t>
            </w:r>
          </w:p>
        </w:tc>
        <w:tc>
          <w:tcPr>
            <w:tcW w:w="346" w:type="pct"/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12 months</w:t>
            </w:r>
          </w:p>
        </w:tc>
      </w:tr>
      <w:tr w:rsidR="00891A4F" w:rsidRPr="00B80BC0" w:rsidTr="00531F49">
        <w:trPr>
          <w:trHeight w:val="20"/>
          <w:jc w:val="center"/>
        </w:trPr>
        <w:tc>
          <w:tcPr>
            <w:tcW w:w="1621" w:type="pct"/>
            <w:shd w:val="clear" w:color="auto" w:fill="FFFFFF" w:themeFill="background1"/>
            <w:hideMark/>
          </w:tcPr>
          <w:p w:rsidR="00891A4F" w:rsidRPr="00B80BC0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outlineLvl w:val="3"/>
              <w:rPr>
                <w:rFonts w:ascii="Century Gothic" w:hAnsi="Century Gothic"/>
                <w:color w:val="093C61"/>
                <w:sz w:val="20"/>
                <w:lang w:val="en-US"/>
              </w:rPr>
            </w:pPr>
            <w:r w:rsidRPr="00B80BC0">
              <w:rPr>
                <w:rFonts w:ascii="Century Gothic" w:hAnsi="Century Gothic"/>
                <w:color w:val="093C61"/>
                <w:sz w:val="20"/>
                <w:lang w:val="en-US"/>
              </w:rPr>
              <w:t>6/. Repaired, serviced and second-hand equipment</w:t>
            </w:r>
          </w:p>
        </w:tc>
        <w:tc>
          <w:tcPr>
            <w:tcW w:w="3379" w:type="pct"/>
            <w:gridSpan w:val="7"/>
            <w:shd w:val="clear" w:color="auto" w:fill="FFC000"/>
            <w:tcMar>
              <w:left w:w="28" w:type="dxa"/>
              <w:right w:w="28" w:type="dxa"/>
            </w:tcMar>
            <w:vAlign w:val="center"/>
            <w:hideMark/>
          </w:tcPr>
          <w:p w:rsidR="00891A4F" w:rsidRPr="00781CB5" w:rsidRDefault="00891A4F" w:rsidP="00891A4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</w:pPr>
            <w:r w:rsidRPr="00781CB5">
              <w:rPr>
                <w:rFonts w:ascii="Century Gothic" w:hAnsi="Century Gothic"/>
                <w:color w:val="093C61"/>
                <w:kern w:val="28"/>
                <w:sz w:val="20"/>
                <w:szCs w:val="20"/>
                <w:lang w:val="en-US"/>
              </w:rPr>
              <w:t>After repair or service which could have affected the electrical safety of the equipment, or on reintroduction to service</w:t>
            </w:r>
          </w:p>
        </w:tc>
      </w:tr>
      <w:bookmarkEnd w:id="0"/>
    </w:tbl>
    <w:p w:rsidR="004E305D" w:rsidRDefault="004E305D" w:rsidP="00E45459">
      <w:pPr>
        <w:tabs>
          <w:tab w:val="left" w:pos="2337"/>
          <w:tab w:val="left" w:pos="2700"/>
        </w:tabs>
        <w:spacing w:after="0" w:line="240" w:lineRule="auto"/>
        <w:ind w:left="180" w:right="-164"/>
        <w:rPr>
          <w:rFonts w:ascii="Century Gothic" w:hAnsi="Century Gothic"/>
          <w:b/>
          <w:bCs/>
          <w:color w:val="093C61"/>
          <w:sz w:val="20"/>
          <w:szCs w:val="20"/>
          <w:lang w:val="en-US"/>
        </w:rPr>
      </w:pPr>
    </w:p>
    <w:p w:rsidR="001E2EFE" w:rsidRPr="00096DD6" w:rsidRDefault="001E2EFE" w:rsidP="00E45459">
      <w:pPr>
        <w:tabs>
          <w:tab w:val="left" w:pos="2337"/>
          <w:tab w:val="left" w:pos="2700"/>
        </w:tabs>
        <w:spacing w:after="0" w:line="240" w:lineRule="auto"/>
        <w:ind w:left="180" w:right="-164"/>
        <w:rPr>
          <w:rFonts w:ascii="Century Gothic" w:hAnsi="Century Gothic"/>
          <w:b/>
          <w:bCs/>
          <w:color w:val="093C61"/>
          <w:sz w:val="20"/>
          <w:szCs w:val="20"/>
          <w:lang w:val="en-US"/>
        </w:rPr>
      </w:pPr>
      <w:r w:rsidRPr="00096DD6">
        <w:rPr>
          <w:rFonts w:ascii="Century Gothic" w:hAnsi="Century Gothic"/>
          <w:b/>
          <w:bCs/>
          <w:color w:val="093C61"/>
          <w:sz w:val="20"/>
          <w:szCs w:val="20"/>
          <w:lang w:val="en-US"/>
        </w:rPr>
        <w:t xml:space="preserve">Examples of equipment in </w:t>
      </w:r>
    </w:p>
    <w:p w:rsidR="001E2EFE" w:rsidRPr="001E2EFE" w:rsidRDefault="001E2EFE" w:rsidP="00E45459">
      <w:pPr>
        <w:tabs>
          <w:tab w:val="left" w:pos="2337"/>
          <w:tab w:val="left" w:pos="2700"/>
        </w:tabs>
        <w:spacing w:after="0" w:line="240" w:lineRule="auto"/>
        <w:ind w:left="180" w:right="-164"/>
        <w:rPr>
          <w:rFonts w:ascii="Century Gothic" w:hAnsi="Century Gothic"/>
          <w:color w:val="093C61"/>
          <w:sz w:val="20"/>
          <w:szCs w:val="20"/>
          <w:lang w:val="en-US"/>
        </w:rPr>
      </w:pPr>
      <w:r w:rsidRPr="001E2EFE">
        <w:rPr>
          <w:rFonts w:ascii="Century Gothic" w:hAnsi="Century Gothic"/>
          <w:color w:val="093C61"/>
          <w:sz w:val="20"/>
          <w:szCs w:val="20"/>
          <w:lang w:val="en-US"/>
        </w:rPr>
        <w:t>1/. Not applicable unless the car wash has an operational workshop or similar area</w:t>
      </w:r>
      <w:r w:rsidRPr="001E2EFE">
        <w:rPr>
          <w:rFonts w:ascii="Century Gothic" w:hAnsi="Century Gothic"/>
          <w:b/>
          <w:bCs/>
          <w:color w:val="093C61"/>
          <w:sz w:val="20"/>
          <w:szCs w:val="20"/>
          <w:lang w:val="en-US"/>
        </w:rPr>
        <w:t>.</w:t>
      </w:r>
      <w:r w:rsidRPr="001E2EFE">
        <w:rPr>
          <w:rFonts w:ascii="Century Gothic" w:hAnsi="Century Gothic"/>
          <w:b/>
          <w:bCs/>
          <w:color w:val="093C61"/>
          <w:sz w:val="20"/>
          <w:szCs w:val="20"/>
          <w:lang w:val="en-US"/>
        </w:rPr>
        <w:t xml:space="preserve"> </w:t>
      </w:r>
      <w:r w:rsidR="00E916BF">
        <w:rPr>
          <w:rFonts w:ascii="Century Gothic" w:hAnsi="Century Gothic"/>
          <w:color w:val="093C61"/>
          <w:sz w:val="20"/>
          <w:szCs w:val="20"/>
          <w:lang w:val="en-US"/>
        </w:rPr>
        <w:t xml:space="preserve">environment types above: </w:t>
      </w:r>
    </w:p>
    <w:p w:rsidR="001E2EFE" w:rsidRPr="001E2EFE" w:rsidRDefault="001E2EFE" w:rsidP="00E45459">
      <w:pPr>
        <w:tabs>
          <w:tab w:val="left" w:pos="2337"/>
          <w:tab w:val="left" w:pos="2700"/>
        </w:tabs>
        <w:spacing w:after="0" w:line="240" w:lineRule="auto"/>
        <w:ind w:left="180" w:right="-164"/>
        <w:rPr>
          <w:rFonts w:ascii="Century Gothic" w:hAnsi="Century Gothic"/>
          <w:color w:val="093C61"/>
          <w:sz w:val="20"/>
          <w:szCs w:val="20"/>
          <w:lang w:val="en-US"/>
        </w:rPr>
      </w:pPr>
      <w:r w:rsidRPr="001E2EFE">
        <w:rPr>
          <w:rFonts w:ascii="Century Gothic" w:hAnsi="Century Gothic"/>
          <w:color w:val="093C61"/>
          <w:sz w:val="20"/>
          <w:szCs w:val="20"/>
          <w:lang w:val="en-US"/>
        </w:rPr>
        <w:t>2/. Equipment frequently moved in the course of its normal use, e.g. extension leads, power tools</w:t>
      </w:r>
    </w:p>
    <w:p w:rsidR="001E2EFE" w:rsidRPr="001E2EFE" w:rsidRDefault="001E2EFE" w:rsidP="00E45459">
      <w:pPr>
        <w:tabs>
          <w:tab w:val="left" w:pos="2700"/>
        </w:tabs>
        <w:spacing w:after="0" w:line="240" w:lineRule="auto"/>
        <w:ind w:left="180" w:right="-164"/>
        <w:rPr>
          <w:rFonts w:ascii="Century Gothic" w:hAnsi="Century Gothic"/>
          <w:color w:val="093C61"/>
          <w:sz w:val="20"/>
          <w:szCs w:val="20"/>
          <w:lang w:val="en-US"/>
        </w:rPr>
      </w:pPr>
      <w:r w:rsidRPr="001E2EFE">
        <w:rPr>
          <w:rFonts w:ascii="Century Gothic" w:hAnsi="Century Gothic"/>
          <w:color w:val="093C61"/>
          <w:sz w:val="20"/>
          <w:szCs w:val="20"/>
          <w:lang w:val="en-US"/>
        </w:rPr>
        <w:t>3/. Equipment not frequently moved in the course of its normal use, e.g. fixed office equipment such as computers</w:t>
      </w:r>
    </w:p>
    <w:p w:rsidR="001E2EFE" w:rsidRPr="001E2EFE" w:rsidRDefault="001E2EFE" w:rsidP="00E45459">
      <w:pPr>
        <w:tabs>
          <w:tab w:val="left" w:pos="2337"/>
          <w:tab w:val="left" w:pos="2700"/>
        </w:tabs>
        <w:spacing w:after="0" w:line="240" w:lineRule="auto"/>
        <w:ind w:left="180"/>
        <w:rPr>
          <w:rFonts w:ascii="Century Gothic" w:hAnsi="Century Gothic"/>
          <w:color w:val="093C61"/>
          <w:sz w:val="20"/>
          <w:szCs w:val="20"/>
        </w:rPr>
      </w:pPr>
      <w:r w:rsidRPr="001E2EFE">
        <w:rPr>
          <w:rFonts w:ascii="Century Gothic" w:hAnsi="Century Gothic"/>
          <w:color w:val="093C61"/>
          <w:sz w:val="20"/>
          <w:szCs w:val="20"/>
        </w:rPr>
        <w:t>4/. Not applicable</w:t>
      </w:r>
    </w:p>
    <w:p w:rsidR="001E2EFE" w:rsidRPr="001E2EFE" w:rsidRDefault="001E2EFE" w:rsidP="00E45459">
      <w:pPr>
        <w:tabs>
          <w:tab w:val="left" w:pos="2700"/>
        </w:tabs>
        <w:spacing w:after="0" w:line="240" w:lineRule="auto"/>
        <w:ind w:left="180"/>
        <w:rPr>
          <w:rFonts w:ascii="Century Gothic" w:hAnsi="Century Gothic"/>
          <w:color w:val="093C61"/>
          <w:sz w:val="20"/>
          <w:szCs w:val="20"/>
          <w:lang w:val="en-US"/>
        </w:rPr>
      </w:pPr>
      <w:r w:rsidRPr="001E2EFE">
        <w:rPr>
          <w:rFonts w:ascii="Century Gothic" w:hAnsi="Century Gothic"/>
          <w:color w:val="093C61"/>
          <w:sz w:val="20"/>
          <w:szCs w:val="20"/>
          <w:lang w:val="en-US"/>
        </w:rPr>
        <w:t>5/. Not applicable as cleaning equipment will be used for car wash only</w:t>
      </w:r>
    </w:p>
    <w:p w:rsidR="001E2EFE" w:rsidRPr="001E2EFE" w:rsidRDefault="001E2EFE" w:rsidP="00891A4F">
      <w:pPr>
        <w:tabs>
          <w:tab w:val="left" w:pos="2337"/>
          <w:tab w:val="left" w:pos="2700"/>
        </w:tabs>
        <w:spacing w:after="0" w:line="240" w:lineRule="auto"/>
        <w:ind w:left="180" w:right="-164"/>
        <w:rPr>
          <w:rFonts w:ascii="Century Gothic" w:hAnsi="Century Gothic"/>
          <w:color w:val="093C61"/>
          <w:sz w:val="20"/>
          <w:szCs w:val="20"/>
          <w:lang w:val="en-US"/>
        </w:rPr>
      </w:pPr>
      <w:r w:rsidRPr="001E2EFE">
        <w:rPr>
          <w:rFonts w:ascii="Century Gothic" w:hAnsi="Century Gothic"/>
          <w:color w:val="093C61"/>
          <w:sz w:val="20"/>
          <w:szCs w:val="20"/>
          <w:lang w:val="en-US"/>
        </w:rPr>
        <w:t>6/. Equipment repaired on or off-site.</w:t>
      </w:r>
    </w:p>
    <w:p w:rsidR="00D36310" w:rsidRDefault="001E2EFE" w:rsidP="00D612C2">
      <w:pPr>
        <w:tabs>
          <w:tab w:val="left" w:pos="2700"/>
        </w:tabs>
        <w:spacing w:after="0" w:line="240" w:lineRule="auto"/>
        <w:rPr>
          <w:rFonts w:ascii="Century Gothic" w:hAnsi="Century Gothic"/>
          <w:b/>
          <w:color w:val="093C61"/>
          <w:sz w:val="20"/>
          <w:szCs w:val="20"/>
          <w:lang w:val="en-US"/>
        </w:rPr>
      </w:pPr>
      <w:r w:rsidRPr="001E2EFE">
        <w:rPr>
          <w:rFonts w:ascii="Century Gothic" w:hAnsi="Century Gothic"/>
          <w:b/>
          <w:color w:val="093C61"/>
          <w:sz w:val="20"/>
          <w:szCs w:val="20"/>
          <w:lang w:val="en-US"/>
        </w:rPr>
        <w:t>(Adapted from Table4, AS/NZS 3760:2003 - In-Service Safety Inspection and Testing of Electrical Equipment)</w:t>
      </w:r>
    </w:p>
    <w:tbl>
      <w:tblPr>
        <w:tblpPr w:leftFromText="180" w:rightFromText="180" w:vertAnchor="text" w:horzAnchor="margin" w:tblpXSpec="right" w:tblpY="104"/>
        <w:tblOverlap w:val="never"/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930"/>
      </w:tblGrid>
      <w:tr w:rsidR="00D612C2" w:rsidRPr="001E2EFE" w:rsidTr="005D5510">
        <w:trPr>
          <w:trHeight w:val="416"/>
        </w:trPr>
        <w:tc>
          <w:tcPr>
            <w:tcW w:w="152" w:type="pct"/>
            <w:shd w:val="clear" w:color="auto" w:fill="FFC000"/>
          </w:tcPr>
          <w:p w:rsidR="00D612C2" w:rsidRPr="001E2EFE" w:rsidRDefault="00D612C2" w:rsidP="00132580">
            <w:pPr>
              <w:tabs>
                <w:tab w:val="left" w:pos="2700"/>
                <w:tab w:val="left" w:pos="7005"/>
              </w:tabs>
              <w:spacing w:after="0" w:line="240" w:lineRule="auto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4848" w:type="pct"/>
            <w:vAlign w:val="center"/>
          </w:tcPr>
          <w:p w:rsidR="00D612C2" w:rsidRPr="001E2EFE" w:rsidRDefault="00D612C2" w:rsidP="00132580">
            <w:pPr>
              <w:tabs>
                <w:tab w:val="left" w:pos="2700"/>
                <w:tab w:val="left" w:pos="7005"/>
              </w:tabs>
              <w:spacing w:after="0" w:line="240" w:lineRule="auto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1E2EFE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Environments and use that most often apply to car washes, but this may vary depending on actual work practices carried out</w:t>
            </w:r>
          </w:p>
        </w:tc>
      </w:tr>
    </w:tbl>
    <w:p w:rsidR="00D612C2" w:rsidRPr="00D612C2" w:rsidRDefault="00D612C2" w:rsidP="00D612C2">
      <w:pPr>
        <w:tabs>
          <w:tab w:val="left" w:pos="2700"/>
        </w:tabs>
        <w:spacing w:after="0" w:line="240" w:lineRule="auto"/>
        <w:rPr>
          <w:rFonts w:ascii="Century Gothic" w:hAnsi="Century Gothic"/>
          <w:b/>
          <w:color w:val="093C61"/>
          <w:sz w:val="20"/>
          <w:szCs w:val="20"/>
          <w:lang w:val="en-US"/>
        </w:rPr>
      </w:pPr>
    </w:p>
    <w:sectPr w:rsidR="00D612C2" w:rsidRPr="00D612C2" w:rsidSect="001E4FC8">
      <w:headerReference w:type="default" r:id="rId8"/>
      <w:footerReference w:type="default" r:id="rId9"/>
      <w:pgSz w:w="16838" w:h="11906" w:orient="landscape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33" w:rsidRDefault="00996E33" w:rsidP="007E4F87">
      <w:pPr>
        <w:spacing w:after="0" w:line="240" w:lineRule="auto"/>
      </w:pPr>
      <w:r>
        <w:separator/>
      </w:r>
    </w:p>
  </w:endnote>
  <w:endnote w:type="continuationSeparator" w:id="0">
    <w:p w:rsidR="00996E33" w:rsidRDefault="00996E33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12596"/>
      <w:gridCol w:w="2802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531F49" w:rsidRPr="00531F49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531F49" w:rsidRPr="00531F49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33" w:rsidRDefault="00996E33" w:rsidP="007E4F87">
      <w:pPr>
        <w:spacing w:after="0" w:line="240" w:lineRule="auto"/>
      </w:pPr>
      <w:r>
        <w:separator/>
      </w:r>
    </w:p>
  </w:footnote>
  <w:footnote w:type="continuationSeparator" w:id="0">
    <w:p w:rsidR="00996E33" w:rsidRDefault="00996E33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Look w:val="04A0" w:firstRow="1" w:lastRow="0" w:firstColumn="1" w:lastColumn="0" w:noHBand="0" w:noVBand="1"/>
    </w:tblPr>
    <w:tblGrid>
      <w:gridCol w:w="15398"/>
    </w:tblGrid>
    <w:tr w:rsidR="00F351C6" w:rsidTr="003E1262">
      <w:tc>
        <w:tcPr>
          <w:tcW w:w="5000" w:type="pct"/>
        </w:tcPr>
        <w:p w:rsidR="00F351C6" w:rsidRPr="004F5510" w:rsidRDefault="00F351C6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F351C6" w:rsidP="00F351C6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>Date: August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1E4FC8">
    <w:pPr>
      <w:pStyle w:val="Header"/>
    </w:pPr>
    <w:r w:rsidRPr="004F5510">
      <w:rPr>
        <w:noProof/>
        <w:color w:val="093C61"/>
      </w:rPr>
      <w:drawing>
        <wp:anchor distT="0" distB="0" distL="114300" distR="114300" simplePos="0" relativeHeight="251658240" behindDoc="0" locked="0" layoutInCell="1" allowOverlap="1" wp14:anchorId="1E1BD4D6" wp14:editId="2CC0DBF4">
          <wp:simplePos x="0" y="0"/>
          <wp:positionH relativeFrom="margin">
            <wp:align>right</wp:align>
          </wp:positionH>
          <wp:positionV relativeFrom="paragraph">
            <wp:posOffset>-355209</wp:posOffset>
          </wp:positionV>
          <wp:extent cx="514985" cy="428625"/>
          <wp:effectExtent l="0" t="0" r="0" b="9525"/>
          <wp:wrapNone/>
          <wp:docPr id="4" name="Picture 4" descr="C:\Users\Public\Documents\doug11\04025 ACWA Logo.rgb.l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blic\Documents\doug11\04025 ACWA Logo.rgb.l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85350"/>
    <w:rsid w:val="00096DD6"/>
    <w:rsid w:val="000A7D66"/>
    <w:rsid w:val="000B2D64"/>
    <w:rsid w:val="000D3FCF"/>
    <w:rsid w:val="00186C70"/>
    <w:rsid w:val="00197943"/>
    <w:rsid w:val="001C364E"/>
    <w:rsid w:val="001C6FE8"/>
    <w:rsid w:val="001E2EFE"/>
    <w:rsid w:val="001E4FC8"/>
    <w:rsid w:val="00210734"/>
    <w:rsid w:val="002122D9"/>
    <w:rsid w:val="002206C7"/>
    <w:rsid w:val="00237BF6"/>
    <w:rsid w:val="00247B14"/>
    <w:rsid w:val="002625A4"/>
    <w:rsid w:val="00284D32"/>
    <w:rsid w:val="002A1349"/>
    <w:rsid w:val="002B3465"/>
    <w:rsid w:val="002F4CA2"/>
    <w:rsid w:val="00344F54"/>
    <w:rsid w:val="003609F4"/>
    <w:rsid w:val="0038224B"/>
    <w:rsid w:val="003B5157"/>
    <w:rsid w:val="003C3A46"/>
    <w:rsid w:val="003E1262"/>
    <w:rsid w:val="003E43EF"/>
    <w:rsid w:val="00476AA0"/>
    <w:rsid w:val="00477011"/>
    <w:rsid w:val="004C398C"/>
    <w:rsid w:val="004E305D"/>
    <w:rsid w:val="004E6D2C"/>
    <w:rsid w:val="004F5510"/>
    <w:rsid w:val="005035C3"/>
    <w:rsid w:val="00531F49"/>
    <w:rsid w:val="005335EB"/>
    <w:rsid w:val="005506FE"/>
    <w:rsid w:val="005563CE"/>
    <w:rsid w:val="005D5510"/>
    <w:rsid w:val="005E567B"/>
    <w:rsid w:val="00685C9F"/>
    <w:rsid w:val="006874E1"/>
    <w:rsid w:val="006B2967"/>
    <w:rsid w:val="006B2A8F"/>
    <w:rsid w:val="006B726E"/>
    <w:rsid w:val="006E1A2C"/>
    <w:rsid w:val="006E5DF4"/>
    <w:rsid w:val="00715915"/>
    <w:rsid w:val="00746D97"/>
    <w:rsid w:val="00747DCC"/>
    <w:rsid w:val="007500CE"/>
    <w:rsid w:val="00773E2A"/>
    <w:rsid w:val="00773F74"/>
    <w:rsid w:val="00781CB5"/>
    <w:rsid w:val="00795EB9"/>
    <w:rsid w:val="00797F75"/>
    <w:rsid w:val="007D35C5"/>
    <w:rsid w:val="007E4F87"/>
    <w:rsid w:val="00816186"/>
    <w:rsid w:val="0082604B"/>
    <w:rsid w:val="00826B22"/>
    <w:rsid w:val="00891A4F"/>
    <w:rsid w:val="008E4D06"/>
    <w:rsid w:val="00907748"/>
    <w:rsid w:val="00996E33"/>
    <w:rsid w:val="009C0D9A"/>
    <w:rsid w:val="009F0FE4"/>
    <w:rsid w:val="00A12765"/>
    <w:rsid w:val="00A275B5"/>
    <w:rsid w:val="00A63D44"/>
    <w:rsid w:val="00A858AA"/>
    <w:rsid w:val="00A91399"/>
    <w:rsid w:val="00B03939"/>
    <w:rsid w:val="00B21AD6"/>
    <w:rsid w:val="00B33F3E"/>
    <w:rsid w:val="00B40E60"/>
    <w:rsid w:val="00B636BE"/>
    <w:rsid w:val="00B80BC0"/>
    <w:rsid w:val="00BB545E"/>
    <w:rsid w:val="00BC3E29"/>
    <w:rsid w:val="00C033DA"/>
    <w:rsid w:val="00C330AC"/>
    <w:rsid w:val="00C54C55"/>
    <w:rsid w:val="00C655E4"/>
    <w:rsid w:val="00C6790D"/>
    <w:rsid w:val="00C917B1"/>
    <w:rsid w:val="00CB59DA"/>
    <w:rsid w:val="00CC6BC7"/>
    <w:rsid w:val="00CF4159"/>
    <w:rsid w:val="00D36310"/>
    <w:rsid w:val="00D612C2"/>
    <w:rsid w:val="00D64C1E"/>
    <w:rsid w:val="00D80A5C"/>
    <w:rsid w:val="00DA6712"/>
    <w:rsid w:val="00DB1AFF"/>
    <w:rsid w:val="00DF4E68"/>
    <w:rsid w:val="00DF66F8"/>
    <w:rsid w:val="00E23CF9"/>
    <w:rsid w:val="00E45459"/>
    <w:rsid w:val="00E66226"/>
    <w:rsid w:val="00E804C5"/>
    <w:rsid w:val="00E916BF"/>
    <w:rsid w:val="00E92F62"/>
    <w:rsid w:val="00EB2847"/>
    <w:rsid w:val="00F005D9"/>
    <w:rsid w:val="00F351C6"/>
    <w:rsid w:val="00F37514"/>
    <w:rsid w:val="00F50691"/>
    <w:rsid w:val="00F61FE7"/>
    <w:rsid w:val="00F7008D"/>
    <w:rsid w:val="00F9197A"/>
    <w:rsid w:val="00F949B8"/>
    <w:rsid w:val="00FA1F32"/>
    <w:rsid w:val="00FB2321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948DE7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character" w:styleId="Strong">
    <w:name w:val="Strong"/>
    <w:basedOn w:val="DefaultParagraphFont"/>
    <w:qFormat/>
    <w:rsid w:val="006E5DF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E5F2D-9A1A-426A-A4FD-B637E571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cp:lastPrinted>2023-10-12T05:14:00Z</cp:lastPrinted>
  <dcterms:created xsi:type="dcterms:W3CDTF">2023-10-15T17:38:00Z</dcterms:created>
  <dcterms:modified xsi:type="dcterms:W3CDTF">2023-10-15T17:50:00Z</dcterms:modified>
</cp:coreProperties>
</file>