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F94" w:rsidRPr="007E3AA4" w:rsidRDefault="00627F94" w:rsidP="00925422">
      <w:pPr>
        <w:rPr>
          <w:rFonts w:asciiTheme="minorHAnsi" w:hAnsiTheme="minorHAnsi"/>
          <w:sz w:val="22"/>
          <w:szCs w:val="22"/>
        </w:rPr>
      </w:pPr>
      <w:r w:rsidRPr="007E3AA4">
        <w:rPr>
          <w:rFonts w:asciiTheme="minorHAnsi" w:hAnsiTheme="minorHAnsi"/>
          <w:sz w:val="22"/>
          <w:szCs w:val="22"/>
        </w:rPr>
        <w:t xml:space="preserve">The following information is provided for guidance on the requirements for testing and tagging of electrical equipment in </w:t>
      </w:r>
      <w:proofErr w:type="gramStart"/>
      <w:r w:rsidRPr="007E3AA4">
        <w:rPr>
          <w:rFonts w:asciiTheme="minorHAnsi" w:hAnsiTheme="minorHAnsi"/>
          <w:sz w:val="22"/>
          <w:szCs w:val="22"/>
        </w:rPr>
        <w:t>general use</w:t>
      </w:r>
      <w:proofErr w:type="gramEnd"/>
      <w:r w:rsidRPr="007E3AA4">
        <w:rPr>
          <w:rFonts w:asciiTheme="minorHAnsi" w:hAnsiTheme="minorHAnsi"/>
          <w:sz w:val="22"/>
          <w:szCs w:val="22"/>
        </w:rPr>
        <w:t xml:space="preserve"> as well as on construction and demolition sites. The information is extracted from the relevant Australian Standard - </w:t>
      </w:r>
      <w:r w:rsidRPr="007E3AA4">
        <w:rPr>
          <w:rFonts w:asciiTheme="minorHAnsi" w:hAnsiTheme="minorHAnsi"/>
          <w:i/>
          <w:sz w:val="22"/>
          <w:szCs w:val="22"/>
        </w:rPr>
        <w:t xml:space="preserve">AS/NZS 3760:2010 - In-service safety inspection and testing of electrical equipment </w:t>
      </w:r>
    </w:p>
    <w:p w:rsidR="00627F94" w:rsidRPr="007E3AA4" w:rsidRDefault="00627F94" w:rsidP="00925422">
      <w:pPr>
        <w:rPr>
          <w:rFonts w:asciiTheme="minorHAnsi" w:hAnsiTheme="minorHAnsi"/>
          <w:b/>
          <w:i/>
          <w:sz w:val="22"/>
          <w:szCs w:val="22"/>
        </w:rPr>
      </w:pPr>
    </w:p>
    <w:p w:rsidR="00FD1DCD" w:rsidRPr="007E3AA4" w:rsidRDefault="00925422" w:rsidP="00925422">
      <w:pPr>
        <w:rPr>
          <w:rFonts w:asciiTheme="minorHAnsi" w:hAnsiTheme="minorHAnsi"/>
          <w:b/>
          <w:i/>
          <w:sz w:val="22"/>
          <w:szCs w:val="22"/>
        </w:rPr>
      </w:pPr>
      <w:r w:rsidRPr="007E3AA4">
        <w:rPr>
          <w:rFonts w:asciiTheme="minorHAnsi" w:hAnsiTheme="minorHAnsi"/>
          <w:b/>
          <w:i/>
          <w:sz w:val="22"/>
          <w:szCs w:val="22"/>
        </w:rPr>
        <w:t xml:space="preserve">Extract from - </w:t>
      </w:r>
      <w:r w:rsidR="00BA3AC8" w:rsidRPr="007E3AA4">
        <w:rPr>
          <w:rFonts w:asciiTheme="minorHAnsi" w:hAnsiTheme="minorHAnsi"/>
          <w:b/>
          <w:i/>
          <w:sz w:val="22"/>
          <w:szCs w:val="22"/>
        </w:rPr>
        <w:t>AS 3760:2010</w:t>
      </w:r>
      <w:r w:rsidRPr="007E3AA4">
        <w:rPr>
          <w:rFonts w:asciiTheme="minorHAnsi" w:hAnsiTheme="minorHAnsi"/>
          <w:b/>
          <w:i/>
          <w:sz w:val="22"/>
          <w:szCs w:val="22"/>
        </w:rPr>
        <w:t xml:space="preserve"> - In-service safety inspection and testing of electrical equipment</w:t>
      </w:r>
    </w:p>
    <w:p w:rsidR="00925422" w:rsidRPr="007E3AA4" w:rsidRDefault="00925422" w:rsidP="00925422">
      <w:pPr>
        <w:autoSpaceDE w:val="0"/>
        <w:autoSpaceDN w:val="0"/>
        <w:adjustRightInd w:val="0"/>
        <w:rPr>
          <w:rFonts w:asciiTheme="minorHAnsi" w:eastAsia="Times New Roman" w:hAnsiTheme="minorHAnsi" w:cs="Arial-BoldMT"/>
          <w:b/>
          <w:bCs/>
          <w:color w:val="000000"/>
          <w:sz w:val="22"/>
          <w:szCs w:val="22"/>
          <w:lang w:eastAsia="en-AU"/>
        </w:rPr>
      </w:pPr>
      <w:r w:rsidRPr="007E3AA4">
        <w:rPr>
          <w:rFonts w:asciiTheme="minorHAnsi" w:eastAsia="Times New Roman" w:hAnsiTheme="minorHAnsi" w:cs="Arial-BoldMT"/>
          <w:b/>
          <w:bCs/>
          <w:color w:val="000000"/>
          <w:sz w:val="22"/>
          <w:szCs w:val="22"/>
          <w:lang w:eastAsia="en-AU"/>
        </w:rPr>
        <w:t>1.2 GENERAL</w:t>
      </w:r>
    </w:p>
    <w:p w:rsidR="00AE372C" w:rsidRPr="007E3AA4" w:rsidRDefault="00925422" w:rsidP="00925422">
      <w:pPr>
        <w:autoSpaceDE w:val="0"/>
        <w:autoSpaceDN w:val="0"/>
        <w:adjustRightInd w:val="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 xml:space="preserve">Equipment needs to be subject to regular inspection and testing to detect obvious damage, wear or other conditions which might render it unsafe. Equipment shall not be dismantled to perform inspection and testing, nor tested to destruction. </w:t>
      </w:r>
    </w:p>
    <w:p w:rsidR="00925422" w:rsidRPr="007E3AA4" w:rsidRDefault="00925422" w:rsidP="00925422">
      <w:pPr>
        <w:autoSpaceDE w:val="0"/>
        <w:autoSpaceDN w:val="0"/>
        <w:adjustRightInd w:val="0"/>
        <w:rPr>
          <w:rFonts w:asciiTheme="minorHAnsi" w:eastAsia="Times New Roman" w:hAnsiTheme="minorHAnsi" w:cs="Arial-BoldMT"/>
          <w:b/>
          <w:bCs/>
          <w:color w:val="000000"/>
          <w:sz w:val="22"/>
          <w:szCs w:val="22"/>
          <w:lang w:eastAsia="en-AU"/>
        </w:rPr>
      </w:pPr>
      <w:r w:rsidRPr="007E3AA4">
        <w:rPr>
          <w:rFonts w:asciiTheme="minorHAnsi" w:eastAsia="Times New Roman" w:hAnsiTheme="minorHAnsi" w:cs="Arial-BoldMT"/>
          <w:b/>
          <w:bCs/>
          <w:color w:val="000000"/>
          <w:sz w:val="22"/>
          <w:szCs w:val="22"/>
          <w:lang w:eastAsia="en-AU"/>
        </w:rPr>
        <w:t>1.2.1 New equipment</w:t>
      </w:r>
    </w:p>
    <w:p w:rsidR="00925422" w:rsidRPr="007E3AA4" w:rsidRDefault="00925422" w:rsidP="00925422">
      <w:pPr>
        <w:autoSpaceDE w:val="0"/>
        <w:autoSpaceDN w:val="0"/>
        <w:adjustRightInd w:val="0"/>
        <w:rPr>
          <w:rFonts w:asciiTheme="minorHAnsi" w:eastAsia="Times New Roman" w:hAnsiTheme="minorHAnsi" w:cs="Arial-BoldMT"/>
          <w:b/>
          <w:bCs/>
          <w:color w:val="000000"/>
          <w:sz w:val="22"/>
          <w:szCs w:val="22"/>
          <w:lang w:eastAsia="en-AU"/>
        </w:rPr>
      </w:pPr>
      <w:r w:rsidRPr="007E3AA4">
        <w:rPr>
          <w:rFonts w:asciiTheme="minorHAnsi" w:eastAsia="Times New Roman" w:hAnsiTheme="minorHAnsi" w:cs="Arial-BoldMT"/>
          <w:b/>
          <w:bCs/>
          <w:color w:val="000000"/>
          <w:sz w:val="22"/>
          <w:szCs w:val="22"/>
          <w:lang w:eastAsia="en-AU"/>
        </w:rPr>
        <w:t>1.2.1.1</w:t>
      </w:r>
    </w:p>
    <w:p w:rsidR="00925422" w:rsidRPr="007E3AA4" w:rsidRDefault="00925422" w:rsidP="00925422">
      <w:pPr>
        <w:autoSpaceDE w:val="0"/>
        <w:autoSpaceDN w:val="0"/>
        <w:adjustRightInd w:val="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In Australia, when the equipment is new, the supplier is deemed responsible for its initial electrical safety. New equipment need not be tested but shall be examined for obvious damage.</w:t>
      </w:r>
    </w:p>
    <w:p w:rsidR="00925422" w:rsidRPr="007E3AA4" w:rsidRDefault="00925422" w:rsidP="00925422">
      <w:pPr>
        <w:autoSpaceDE w:val="0"/>
        <w:autoSpaceDN w:val="0"/>
        <w:adjustRightInd w:val="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 xml:space="preserve">Where deemed compliant the owner or </w:t>
      </w:r>
      <w:r w:rsidRPr="007E3AA4">
        <w:rPr>
          <w:rFonts w:asciiTheme="minorHAnsi" w:eastAsia="Times New Roman" w:hAnsiTheme="minorHAnsi" w:cs="Arial-BoldMT"/>
          <w:b/>
          <w:bCs/>
          <w:color w:val="000000"/>
          <w:sz w:val="22"/>
          <w:szCs w:val="22"/>
          <w:lang w:eastAsia="en-AU"/>
        </w:rPr>
        <w:t xml:space="preserve">responsible person </w:t>
      </w:r>
      <w:r w:rsidRPr="007E3AA4">
        <w:rPr>
          <w:rFonts w:asciiTheme="minorHAnsi" w:eastAsia="Times New Roman" w:hAnsiTheme="minorHAnsi" w:cs="ArialMT"/>
          <w:color w:val="000000"/>
          <w:sz w:val="22"/>
          <w:szCs w:val="22"/>
          <w:lang w:eastAsia="en-AU"/>
        </w:rPr>
        <w:t>shall ensure it is tagged in accordance with 2.4.2.1.</w:t>
      </w:r>
      <w:r w:rsidR="00B32C63" w:rsidRPr="007E3AA4">
        <w:rPr>
          <w:rFonts w:asciiTheme="minorHAnsi" w:eastAsia="Times New Roman" w:hAnsiTheme="minorHAnsi" w:cs="ArialMT"/>
          <w:color w:val="000000"/>
          <w:sz w:val="22"/>
          <w:szCs w:val="22"/>
          <w:lang w:eastAsia="en-AU"/>
        </w:rPr>
        <w:t xml:space="preserve"> </w:t>
      </w:r>
    </w:p>
    <w:p w:rsidR="00B32C63" w:rsidRPr="007E3AA4" w:rsidRDefault="00B32C63" w:rsidP="00B32C63">
      <w:pPr>
        <w:autoSpaceDE w:val="0"/>
        <w:autoSpaceDN w:val="0"/>
        <w:adjustRightInd w:val="0"/>
        <w:rPr>
          <w:rFonts w:asciiTheme="minorHAnsi" w:eastAsia="Times New Roman" w:hAnsiTheme="minorHAnsi" w:cs="ArialMT"/>
          <w:i/>
          <w:color w:val="000000"/>
          <w:sz w:val="22"/>
          <w:szCs w:val="22"/>
          <w:lang w:eastAsia="en-AU"/>
        </w:rPr>
      </w:pPr>
      <w:r w:rsidRPr="007E3AA4">
        <w:rPr>
          <w:rFonts w:asciiTheme="minorHAnsi" w:eastAsia="Times New Roman" w:hAnsiTheme="minorHAnsi" w:cs="ArialMT"/>
          <w:i/>
          <w:color w:val="000000"/>
          <w:sz w:val="22"/>
          <w:szCs w:val="22"/>
          <w:lang w:eastAsia="en-AU"/>
        </w:rPr>
        <w:t>“In Australia, equipment that is new and entering into service for the first time but not tested and tagged shall have a tag applied that includes the following information:</w:t>
      </w:r>
    </w:p>
    <w:p w:rsidR="00B32C63" w:rsidRPr="007E3AA4" w:rsidRDefault="00B32C63" w:rsidP="00B32C63">
      <w:pPr>
        <w:autoSpaceDE w:val="0"/>
        <w:autoSpaceDN w:val="0"/>
        <w:adjustRightInd w:val="0"/>
        <w:rPr>
          <w:rFonts w:asciiTheme="minorHAnsi" w:eastAsia="Times New Roman" w:hAnsiTheme="minorHAnsi" w:cs="ArialMT"/>
          <w:i/>
          <w:color w:val="000000"/>
          <w:sz w:val="22"/>
          <w:szCs w:val="22"/>
          <w:lang w:eastAsia="en-AU"/>
        </w:rPr>
      </w:pPr>
      <w:r w:rsidRPr="007E3AA4">
        <w:rPr>
          <w:rFonts w:asciiTheme="minorHAnsi" w:eastAsia="Times New Roman" w:hAnsiTheme="minorHAnsi" w:cs="ArialMT"/>
          <w:i/>
          <w:color w:val="000000"/>
          <w:sz w:val="22"/>
          <w:szCs w:val="22"/>
          <w:lang w:eastAsia="en-AU"/>
        </w:rPr>
        <w:t>(i) Wording, “new to service”</w:t>
      </w:r>
    </w:p>
    <w:p w:rsidR="00B32C63" w:rsidRPr="007E3AA4" w:rsidRDefault="00B32C63" w:rsidP="00B32C63">
      <w:pPr>
        <w:autoSpaceDE w:val="0"/>
        <w:autoSpaceDN w:val="0"/>
        <w:adjustRightInd w:val="0"/>
        <w:rPr>
          <w:rFonts w:asciiTheme="minorHAnsi" w:eastAsia="Times New Roman" w:hAnsiTheme="minorHAnsi" w:cs="ArialMT"/>
          <w:i/>
          <w:color w:val="000000"/>
          <w:sz w:val="22"/>
          <w:szCs w:val="22"/>
          <w:lang w:eastAsia="en-AU"/>
        </w:rPr>
      </w:pPr>
      <w:r w:rsidRPr="007E3AA4">
        <w:rPr>
          <w:rFonts w:asciiTheme="minorHAnsi" w:eastAsia="Times New Roman" w:hAnsiTheme="minorHAnsi" w:cs="ArialMT"/>
          <w:i/>
          <w:color w:val="000000"/>
          <w:sz w:val="22"/>
          <w:szCs w:val="22"/>
          <w:lang w:eastAsia="en-AU"/>
        </w:rPr>
        <w:t>(ii) Date of entry to service</w:t>
      </w:r>
    </w:p>
    <w:p w:rsidR="00B32C63" w:rsidRPr="007E3AA4" w:rsidRDefault="00B32C63" w:rsidP="00B32C63">
      <w:pPr>
        <w:autoSpaceDE w:val="0"/>
        <w:autoSpaceDN w:val="0"/>
        <w:adjustRightInd w:val="0"/>
        <w:rPr>
          <w:rFonts w:asciiTheme="minorHAnsi" w:eastAsia="Times New Roman" w:hAnsiTheme="minorHAnsi" w:cs="ArialMT"/>
          <w:i/>
          <w:color w:val="000000"/>
          <w:sz w:val="22"/>
          <w:szCs w:val="22"/>
          <w:lang w:eastAsia="en-AU"/>
        </w:rPr>
      </w:pPr>
      <w:r w:rsidRPr="007E3AA4">
        <w:rPr>
          <w:rFonts w:asciiTheme="minorHAnsi" w:eastAsia="Times New Roman" w:hAnsiTheme="minorHAnsi" w:cs="ArialMT"/>
          <w:i/>
          <w:color w:val="000000"/>
          <w:sz w:val="22"/>
          <w:szCs w:val="22"/>
          <w:lang w:eastAsia="en-AU"/>
        </w:rPr>
        <w:t>(iii) Date when next test is due</w:t>
      </w:r>
    </w:p>
    <w:p w:rsidR="00B32C63" w:rsidRPr="007E3AA4" w:rsidRDefault="00B32C63" w:rsidP="00B32C63">
      <w:pPr>
        <w:autoSpaceDE w:val="0"/>
        <w:autoSpaceDN w:val="0"/>
        <w:adjustRightInd w:val="0"/>
        <w:rPr>
          <w:rFonts w:asciiTheme="minorHAnsi" w:eastAsia="Times New Roman" w:hAnsiTheme="minorHAnsi" w:cs="ArialMT"/>
          <w:i/>
          <w:color w:val="000000"/>
          <w:sz w:val="22"/>
          <w:szCs w:val="22"/>
          <w:lang w:eastAsia="en-AU"/>
        </w:rPr>
      </w:pPr>
      <w:r w:rsidRPr="007E3AA4">
        <w:rPr>
          <w:rFonts w:asciiTheme="minorHAnsi" w:eastAsia="Times New Roman" w:hAnsiTheme="minorHAnsi" w:cs="ArialMT"/>
          <w:i/>
          <w:color w:val="000000"/>
          <w:sz w:val="22"/>
          <w:szCs w:val="22"/>
          <w:lang w:eastAsia="en-AU"/>
        </w:rPr>
        <w:t>(iv) Statement, “This appliance has not been tested in accordance with AS/NZS 3760”.</w:t>
      </w:r>
    </w:p>
    <w:p w:rsidR="00925422" w:rsidRPr="007E3AA4" w:rsidRDefault="00925422" w:rsidP="00925422">
      <w:pPr>
        <w:autoSpaceDE w:val="0"/>
        <w:autoSpaceDN w:val="0"/>
        <w:adjustRightInd w:val="0"/>
        <w:rPr>
          <w:rFonts w:asciiTheme="minorHAnsi" w:eastAsia="Times New Roman" w:hAnsiTheme="minorHAnsi" w:cs="Arial-BoldMT"/>
          <w:b/>
          <w:bCs/>
          <w:color w:val="000000"/>
          <w:sz w:val="22"/>
          <w:szCs w:val="22"/>
          <w:lang w:eastAsia="en-AU"/>
        </w:rPr>
      </w:pPr>
      <w:r w:rsidRPr="007E3AA4">
        <w:rPr>
          <w:rFonts w:asciiTheme="minorHAnsi" w:eastAsia="Times New Roman" w:hAnsiTheme="minorHAnsi" w:cs="Arial-BoldMT"/>
          <w:b/>
          <w:bCs/>
          <w:color w:val="000000"/>
          <w:sz w:val="22"/>
          <w:szCs w:val="22"/>
          <w:lang w:eastAsia="en-AU"/>
        </w:rPr>
        <w:t>1.2.2 In-service equipment</w:t>
      </w:r>
    </w:p>
    <w:p w:rsidR="00925422" w:rsidRPr="007E3AA4" w:rsidRDefault="00925422" w:rsidP="00925422">
      <w:pPr>
        <w:autoSpaceDE w:val="0"/>
        <w:autoSpaceDN w:val="0"/>
        <w:adjustRightInd w:val="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 xml:space="preserve">Equipment already in-service shall be inspected and tested in accordance with </w:t>
      </w:r>
      <w:r w:rsidR="000E0FA0" w:rsidRPr="007E3AA4">
        <w:rPr>
          <w:rFonts w:asciiTheme="minorHAnsi" w:eastAsia="Times New Roman" w:hAnsiTheme="minorHAnsi" w:cs="ArialMT"/>
          <w:b/>
          <w:color w:val="000000"/>
          <w:sz w:val="22"/>
          <w:szCs w:val="22"/>
          <w:lang w:eastAsia="en-AU"/>
        </w:rPr>
        <w:t>SECTION</w:t>
      </w:r>
      <w:r w:rsidRPr="007E3AA4">
        <w:rPr>
          <w:rFonts w:asciiTheme="minorHAnsi" w:eastAsia="Times New Roman" w:hAnsiTheme="minorHAnsi" w:cs="ArialMT"/>
          <w:b/>
          <w:color w:val="000000"/>
          <w:sz w:val="22"/>
          <w:szCs w:val="22"/>
          <w:lang w:eastAsia="en-AU"/>
        </w:rPr>
        <w:t xml:space="preserve"> 2</w:t>
      </w:r>
      <w:r w:rsidRPr="007E3AA4">
        <w:rPr>
          <w:rFonts w:asciiTheme="minorHAnsi" w:eastAsia="Times New Roman" w:hAnsiTheme="minorHAnsi" w:cs="ArialMT"/>
          <w:color w:val="000000"/>
          <w:sz w:val="22"/>
          <w:szCs w:val="22"/>
          <w:lang w:eastAsia="en-AU"/>
        </w:rPr>
        <w:t>.</w:t>
      </w:r>
    </w:p>
    <w:p w:rsidR="00925422" w:rsidRPr="007E3AA4" w:rsidRDefault="00925422" w:rsidP="00925422">
      <w:pPr>
        <w:autoSpaceDE w:val="0"/>
        <w:autoSpaceDN w:val="0"/>
        <w:adjustRightInd w:val="0"/>
        <w:rPr>
          <w:rFonts w:asciiTheme="minorHAnsi" w:eastAsia="Times New Roman" w:hAnsiTheme="minorHAnsi" w:cs="Arial-BoldMT"/>
          <w:b/>
          <w:bCs/>
          <w:color w:val="000000"/>
          <w:sz w:val="22"/>
          <w:szCs w:val="22"/>
          <w:lang w:eastAsia="en-AU"/>
        </w:rPr>
      </w:pPr>
      <w:r w:rsidRPr="007E3AA4">
        <w:rPr>
          <w:rFonts w:asciiTheme="minorHAnsi" w:eastAsia="Times New Roman" w:hAnsiTheme="minorHAnsi" w:cs="Arial-BoldMT"/>
          <w:b/>
          <w:bCs/>
          <w:color w:val="000000"/>
          <w:sz w:val="22"/>
          <w:szCs w:val="22"/>
          <w:lang w:eastAsia="en-AU"/>
        </w:rPr>
        <w:t>1.2.3 Fixed or stationary equipment</w:t>
      </w:r>
    </w:p>
    <w:p w:rsidR="00925422" w:rsidRPr="007E3AA4" w:rsidRDefault="00925422" w:rsidP="00925422">
      <w:pPr>
        <w:autoSpaceDE w:val="0"/>
        <w:autoSpaceDN w:val="0"/>
        <w:adjustRightInd w:val="0"/>
        <w:rPr>
          <w:rFonts w:asciiTheme="minorHAnsi" w:eastAsia="Times New Roman" w:hAnsiTheme="minorHAnsi" w:cs="ArialMT"/>
          <w:color w:val="000000"/>
          <w:sz w:val="22"/>
          <w:szCs w:val="22"/>
          <w:lang w:eastAsia="en-AU"/>
        </w:rPr>
      </w:pPr>
      <w:r w:rsidRPr="007E3AA4">
        <w:rPr>
          <w:rFonts w:asciiTheme="minorHAnsi" w:eastAsia="Times New Roman" w:hAnsiTheme="minorHAnsi" w:cs="Arial-BoldMT"/>
          <w:b/>
          <w:bCs/>
          <w:color w:val="000000"/>
          <w:sz w:val="22"/>
          <w:szCs w:val="22"/>
          <w:lang w:eastAsia="en-AU"/>
        </w:rPr>
        <w:t xml:space="preserve">Fixed equipment </w:t>
      </w:r>
      <w:r w:rsidRPr="007E3AA4">
        <w:rPr>
          <w:rFonts w:asciiTheme="minorHAnsi" w:eastAsia="Times New Roman" w:hAnsiTheme="minorHAnsi" w:cs="ArialMT"/>
          <w:color w:val="000000"/>
          <w:sz w:val="22"/>
          <w:szCs w:val="22"/>
          <w:lang w:eastAsia="en-AU"/>
        </w:rPr>
        <w:t xml:space="preserve">or </w:t>
      </w:r>
      <w:r w:rsidRPr="007E3AA4">
        <w:rPr>
          <w:rFonts w:asciiTheme="minorHAnsi" w:eastAsia="Times New Roman" w:hAnsiTheme="minorHAnsi" w:cs="Arial-BoldMT"/>
          <w:b/>
          <w:bCs/>
          <w:color w:val="000000"/>
          <w:sz w:val="22"/>
          <w:szCs w:val="22"/>
          <w:lang w:eastAsia="en-AU"/>
        </w:rPr>
        <w:t xml:space="preserve">stationary equipment </w:t>
      </w:r>
      <w:r w:rsidRPr="007E3AA4">
        <w:rPr>
          <w:rFonts w:asciiTheme="minorHAnsi" w:eastAsia="Times New Roman" w:hAnsiTheme="minorHAnsi" w:cs="ArialMT"/>
          <w:color w:val="000000"/>
          <w:sz w:val="22"/>
          <w:szCs w:val="22"/>
          <w:lang w:eastAsia="en-AU"/>
        </w:rPr>
        <w:t xml:space="preserve">connected by </w:t>
      </w:r>
      <w:r w:rsidR="00B32C63" w:rsidRPr="007E3AA4">
        <w:rPr>
          <w:rFonts w:asciiTheme="minorHAnsi" w:eastAsia="Times New Roman" w:hAnsiTheme="minorHAnsi" w:cs="ArialMT"/>
          <w:color w:val="000000"/>
          <w:sz w:val="22"/>
          <w:szCs w:val="22"/>
          <w:lang w:eastAsia="en-AU"/>
        </w:rPr>
        <w:t>flexible cable or flexible cord</w:t>
      </w:r>
      <w:r w:rsidRPr="007E3AA4">
        <w:rPr>
          <w:rFonts w:asciiTheme="minorHAnsi" w:eastAsia="Times New Roman" w:hAnsiTheme="minorHAnsi" w:cs="ArialMT"/>
          <w:color w:val="000000"/>
          <w:sz w:val="22"/>
          <w:szCs w:val="22"/>
          <w:lang w:eastAsia="en-AU"/>
        </w:rPr>
        <w:t>:</w:t>
      </w:r>
    </w:p>
    <w:p w:rsidR="00925422" w:rsidRPr="007E3AA4" w:rsidRDefault="00925422" w:rsidP="000E0FA0">
      <w:pPr>
        <w:autoSpaceDE w:val="0"/>
        <w:autoSpaceDN w:val="0"/>
        <w:adjustRightInd w:val="0"/>
        <w:ind w:left="72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 xml:space="preserve">(a) That is not flexed in normal use nor exposed to damage nor is in a </w:t>
      </w:r>
      <w:r w:rsidRPr="007E3AA4">
        <w:rPr>
          <w:rFonts w:asciiTheme="minorHAnsi" w:eastAsia="Times New Roman" w:hAnsiTheme="minorHAnsi" w:cs="Arial-BoldMT"/>
          <w:b/>
          <w:bCs/>
          <w:color w:val="000000"/>
          <w:sz w:val="22"/>
          <w:szCs w:val="22"/>
          <w:lang w:eastAsia="en-AU"/>
        </w:rPr>
        <w:t>hostile environment</w:t>
      </w:r>
      <w:r w:rsidRPr="007E3AA4">
        <w:rPr>
          <w:rFonts w:asciiTheme="minorHAnsi" w:eastAsia="Times New Roman" w:hAnsiTheme="minorHAnsi" w:cs="ArialMT"/>
          <w:color w:val="000000"/>
          <w:sz w:val="22"/>
          <w:szCs w:val="22"/>
          <w:lang w:eastAsia="en-AU"/>
        </w:rPr>
        <w:t xml:space="preserve">, does not normally constitute a hazard sufficient to warrant routine in-service electrical safety testing. Accordingly, </w:t>
      </w:r>
      <w:proofErr w:type="gramStart"/>
      <w:r w:rsidRPr="007E3AA4">
        <w:rPr>
          <w:rFonts w:asciiTheme="minorHAnsi" w:eastAsia="Times New Roman" w:hAnsiTheme="minorHAnsi" w:cs="ArialMT"/>
          <w:color w:val="000000"/>
          <w:sz w:val="22"/>
          <w:szCs w:val="22"/>
          <w:lang w:eastAsia="en-AU"/>
        </w:rPr>
        <w:t>the testing of such equipment is not required by this Standard</w:t>
      </w:r>
      <w:proofErr w:type="gramEnd"/>
      <w:r w:rsidRPr="007E3AA4">
        <w:rPr>
          <w:rFonts w:asciiTheme="minorHAnsi" w:eastAsia="Times New Roman" w:hAnsiTheme="minorHAnsi" w:cs="ArialMT"/>
          <w:color w:val="000000"/>
          <w:sz w:val="22"/>
          <w:szCs w:val="22"/>
          <w:lang w:eastAsia="en-AU"/>
        </w:rPr>
        <w:t>;</w:t>
      </w:r>
    </w:p>
    <w:p w:rsidR="00C70735" w:rsidRPr="007E3AA4" w:rsidRDefault="00925422" w:rsidP="000E0FA0">
      <w:pPr>
        <w:autoSpaceDE w:val="0"/>
        <w:autoSpaceDN w:val="0"/>
        <w:adjustRightInd w:val="0"/>
        <w:ind w:left="720"/>
        <w:rPr>
          <w:rFonts w:asciiTheme="minorHAnsi" w:hAnsiTheme="minorHAnsi" w:cs="TTB6Bo00"/>
          <w:b/>
          <w:color w:val="000000"/>
          <w:sz w:val="22"/>
          <w:szCs w:val="22"/>
        </w:rPr>
      </w:pPr>
      <w:r w:rsidRPr="007E3AA4">
        <w:rPr>
          <w:rFonts w:asciiTheme="minorHAnsi" w:eastAsia="Times New Roman" w:hAnsiTheme="minorHAnsi" w:cs="ArialMT"/>
          <w:color w:val="000000"/>
          <w:sz w:val="22"/>
          <w:szCs w:val="22"/>
          <w:lang w:eastAsia="en-AU"/>
        </w:rPr>
        <w:t>(b) Where the flexible cable or flexible cord is flexed on equipment which is moved only for restocking, maintenance or, cleaning, for example, in-service testing is required.</w:t>
      </w:r>
    </w:p>
    <w:p w:rsidR="000E0FA0" w:rsidRPr="007E3AA4" w:rsidRDefault="000E0FA0" w:rsidP="000E0FA0">
      <w:pPr>
        <w:autoSpaceDE w:val="0"/>
        <w:autoSpaceDN w:val="0"/>
        <w:adjustRightInd w:val="0"/>
        <w:rPr>
          <w:rFonts w:asciiTheme="minorHAnsi" w:eastAsia="Times New Roman" w:hAnsiTheme="minorHAnsi" w:cs="Arial-BoldMT"/>
          <w:b/>
          <w:bCs/>
          <w:color w:val="000000"/>
          <w:sz w:val="22"/>
          <w:szCs w:val="22"/>
          <w:lang w:eastAsia="en-AU"/>
        </w:rPr>
      </w:pPr>
      <w:r w:rsidRPr="007E3AA4">
        <w:rPr>
          <w:rFonts w:asciiTheme="minorHAnsi" w:eastAsia="Times New Roman" w:hAnsiTheme="minorHAnsi" w:cs="Arial-BoldMT"/>
          <w:b/>
          <w:bCs/>
          <w:color w:val="000000"/>
          <w:sz w:val="22"/>
          <w:szCs w:val="22"/>
          <w:lang w:eastAsia="en-AU"/>
        </w:rPr>
        <w:t>1.4.4 Competent person</w:t>
      </w:r>
    </w:p>
    <w:p w:rsidR="000E0FA0" w:rsidRPr="007E3AA4" w:rsidRDefault="000E0FA0" w:rsidP="000E0FA0">
      <w:pPr>
        <w:autoSpaceDE w:val="0"/>
        <w:autoSpaceDN w:val="0"/>
        <w:adjustRightInd w:val="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 xml:space="preserve">A </w:t>
      </w:r>
      <w:r w:rsidRPr="007E3AA4">
        <w:rPr>
          <w:rFonts w:asciiTheme="minorHAnsi" w:eastAsia="Times New Roman" w:hAnsiTheme="minorHAnsi" w:cs="Arial-BoldMT"/>
          <w:b/>
          <w:bCs/>
          <w:color w:val="000000"/>
          <w:sz w:val="22"/>
          <w:szCs w:val="22"/>
          <w:lang w:eastAsia="en-AU"/>
        </w:rPr>
        <w:t xml:space="preserve">competent person </w:t>
      </w:r>
      <w:r w:rsidRPr="007E3AA4">
        <w:rPr>
          <w:rFonts w:asciiTheme="minorHAnsi" w:eastAsia="Times New Roman" w:hAnsiTheme="minorHAnsi" w:cs="ArialMT"/>
          <w:color w:val="000000"/>
          <w:sz w:val="22"/>
          <w:szCs w:val="22"/>
          <w:lang w:eastAsia="en-AU"/>
        </w:rPr>
        <w:t xml:space="preserve">is one who the </w:t>
      </w:r>
      <w:r w:rsidRPr="007E3AA4">
        <w:rPr>
          <w:rFonts w:asciiTheme="minorHAnsi" w:eastAsia="Times New Roman" w:hAnsiTheme="minorHAnsi" w:cs="Arial-BoldMT"/>
          <w:b/>
          <w:bCs/>
          <w:color w:val="000000"/>
          <w:sz w:val="22"/>
          <w:szCs w:val="22"/>
          <w:lang w:eastAsia="en-AU"/>
        </w:rPr>
        <w:t xml:space="preserve">responsible person </w:t>
      </w:r>
      <w:r w:rsidRPr="007E3AA4">
        <w:rPr>
          <w:rFonts w:asciiTheme="minorHAnsi" w:eastAsia="Times New Roman" w:hAnsiTheme="minorHAnsi" w:cs="ArialMT"/>
          <w:color w:val="000000"/>
          <w:sz w:val="22"/>
          <w:szCs w:val="22"/>
          <w:lang w:eastAsia="en-AU"/>
        </w:rPr>
        <w:t>ensures has the necessary practical and theoretical skills, acquired through training, qualification, experience or a combination of these, to correctly undertake the required tasks.</w:t>
      </w:r>
    </w:p>
    <w:p w:rsidR="000E0FA0" w:rsidRPr="007E3AA4" w:rsidRDefault="000E0FA0" w:rsidP="000E0FA0">
      <w:pPr>
        <w:autoSpaceDE w:val="0"/>
        <w:autoSpaceDN w:val="0"/>
        <w:adjustRightInd w:val="0"/>
        <w:rPr>
          <w:rFonts w:asciiTheme="minorHAnsi" w:eastAsia="Times New Roman" w:hAnsiTheme="minorHAnsi" w:cs="Arial-BoldMT"/>
          <w:b/>
          <w:bCs/>
          <w:color w:val="000000"/>
          <w:sz w:val="22"/>
          <w:szCs w:val="22"/>
          <w:lang w:eastAsia="en-AU"/>
        </w:rPr>
      </w:pPr>
      <w:r w:rsidRPr="007E3AA4">
        <w:rPr>
          <w:rFonts w:asciiTheme="minorHAnsi" w:eastAsia="Times New Roman" w:hAnsiTheme="minorHAnsi" w:cs="Arial-BoldMT"/>
          <w:b/>
          <w:bCs/>
          <w:color w:val="000000"/>
          <w:sz w:val="22"/>
          <w:szCs w:val="22"/>
          <w:lang w:eastAsia="en-AU"/>
        </w:rPr>
        <w:t>1.4.12 Hostile environment</w:t>
      </w:r>
    </w:p>
    <w:p w:rsidR="000E0FA0" w:rsidRPr="007E3AA4" w:rsidRDefault="000E0FA0" w:rsidP="000E0FA0">
      <w:pPr>
        <w:autoSpaceDE w:val="0"/>
        <w:autoSpaceDN w:val="0"/>
        <w:adjustRightInd w:val="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 xml:space="preserve">One in which the equipment or appliance is normally subject to events or operating conditions likely to result in damage to the equipment or a reduction in </w:t>
      </w:r>
      <w:r w:rsidR="007E3AA4" w:rsidRPr="007E3AA4">
        <w:rPr>
          <w:rFonts w:asciiTheme="minorHAnsi" w:eastAsia="Times New Roman" w:hAnsiTheme="minorHAnsi" w:cs="ArialMT"/>
          <w:color w:val="000000"/>
          <w:sz w:val="22"/>
          <w:szCs w:val="22"/>
          <w:lang w:eastAsia="en-AU"/>
        </w:rPr>
        <w:t>its expected</w:t>
      </w:r>
      <w:r w:rsidRPr="007E3AA4">
        <w:rPr>
          <w:rFonts w:asciiTheme="minorHAnsi" w:eastAsia="Times New Roman" w:hAnsiTheme="minorHAnsi" w:cs="ArialMT"/>
          <w:color w:val="000000"/>
          <w:sz w:val="22"/>
          <w:szCs w:val="22"/>
          <w:lang w:eastAsia="en-AU"/>
        </w:rPr>
        <w:t xml:space="preserve"> life span. This includes, but is not limited to mechanical damage, exposure to moisture, heat, vibration, corrosive chemicals, and dust.</w:t>
      </w:r>
    </w:p>
    <w:p w:rsidR="000E0FA0" w:rsidRPr="007E3AA4" w:rsidRDefault="000E0FA0" w:rsidP="000E0FA0">
      <w:pPr>
        <w:autoSpaceDE w:val="0"/>
        <w:autoSpaceDN w:val="0"/>
        <w:adjustRightInd w:val="0"/>
        <w:rPr>
          <w:rFonts w:asciiTheme="minorHAnsi" w:eastAsia="Times New Roman" w:hAnsiTheme="minorHAnsi" w:cs="ArialMT"/>
          <w:b/>
          <w:color w:val="000000"/>
          <w:sz w:val="22"/>
          <w:szCs w:val="22"/>
          <w:lang w:eastAsia="en-AU"/>
        </w:rPr>
      </w:pPr>
      <w:r w:rsidRPr="007E3AA4">
        <w:rPr>
          <w:rFonts w:asciiTheme="minorHAnsi" w:eastAsia="Times New Roman" w:hAnsiTheme="minorHAnsi" w:cs="ArialMT"/>
          <w:b/>
          <w:color w:val="000000"/>
          <w:sz w:val="22"/>
          <w:szCs w:val="22"/>
          <w:lang w:eastAsia="en-AU"/>
        </w:rPr>
        <w:t>1.4.19 Responsible person</w:t>
      </w:r>
    </w:p>
    <w:p w:rsidR="000E0FA0" w:rsidRPr="007E3AA4" w:rsidRDefault="000E0FA0" w:rsidP="000E0FA0">
      <w:pPr>
        <w:autoSpaceDE w:val="0"/>
        <w:autoSpaceDN w:val="0"/>
        <w:adjustRightInd w:val="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lastRenderedPageBreak/>
        <w:t>The responsible person shall be considered as:</w:t>
      </w:r>
    </w:p>
    <w:p w:rsidR="000E0FA0" w:rsidRPr="007E3AA4" w:rsidRDefault="000E0FA0" w:rsidP="000E0FA0">
      <w:pPr>
        <w:autoSpaceDE w:val="0"/>
        <w:autoSpaceDN w:val="0"/>
        <w:adjustRightInd w:val="0"/>
        <w:ind w:left="72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(a) The owner of the premises; or</w:t>
      </w:r>
    </w:p>
    <w:p w:rsidR="000E0FA0" w:rsidRPr="007E3AA4" w:rsidRDefault="000E0FA0" w:rsidP="000E0FA0">
      <w:pPr>
        <w:autoSpaceDE w:val="0"/>
        <w:autoSpaceDN w:val="0"/>
        <w:adjustRightInd w:val="0"/>
        <w:ind w:left="72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(b) The owner of the electrical equipment; or</w:t>
      </w:r>
    </w:p>
    <w:p w:rsidR="000E0FA0" w:rsidRPr="007E3AA4" w:rsidRDefault="000E0FA0" w:rsidP="000E0FA0">
      <w:pPr>
        <w:autoSpaceDE w:val="0"/>
        <w:autoSpaceDN w:val="0"/>
        <w:adjustRightInd w:val="0"/>
        <w:ind w:left="720"/>
        <w:rPr>
          <w:rFonts w:asciiTheme="minorHAnsi" w:eastAsia="Times New Roman" w:hAnsiTheme="minorHAnsi" w:cs="Arial-BoldMT"/>
          <w:b/>
          <w:bCs/>
          <w:color w:val="000000"/>
          <w:sz w:val="22"/>
          <w:szCs w:val="22"/>
          <w:lang w:eastAsia="en-AU"/>
        </w:rPr>
      </w:pPr>
      <w:r w:rsidRPr="007E3AA4">
        <w:rPr>
          <w:rFonts w:asciiTheme="minorHAnsi" w:eastAsia="Times New Roman" w:hAnsiTheme="minorHAnsi" w:cs="ArialMT"/>
          <w:color w:val="000000"/>
          <w:sz w:val="22"/>
          <w:szCs w:val="22"/>
          <w:lang w:eastAsia="en-AU"/>
        </w:rPr>
        <w:t>(c) A person who has a legal responsibility for the safety of electrical equipment within the scope of this Standard</w:t>
      </w:r>
    </w:p>
    <w:p w:rsidR="000E0FA0" w:rsidRPr="007E3AA4" w:rsidRDefault="000E0FA0">
      <w:pPr>
        <w:rPr>
          <w:rFonts w:asciiTheme="minorHAnsi" w:eastAsia="Times New Roman" w:hAnsiTheme="minorHAnsi" w:cs="Arial-BoldMT"/>
          <w:b/>
          <w:bCs/>
          <w:color w:val="000000"/>
          <w:sz w:val="22"/>
          <w:szCs w:val="22"/>
          <w:lang w:eastAsia="en-AU"/>
        </w:rPr>
      </w:pPr>
    </w:p>
    <w:p w:rsidR="00925422" w:rsidRPr="007E3AA4" w:rsidRDefault="00925422" w:rsidP="00925422">
      <w:pPr>
        <w:autoSpaceDE w:val="0"/>
        <w:autoSpaceDN w:val="0"/>
        <w:adjustRightInd w:val="0"/>
        <w:rPr>
          <w:rFonts w:asciiTheme="minorHAnsi" w:eastAsia="Times New Roman" w:hAnsiTheme="minorHAnsi" w:cs="Arial-BoldMT"/>
          <w:b/>
          <w:bCs/>
          <w:color w:val="000000"/>
          <w:sz w:val="22"/>
          <w:szCs w:val="22"/>
          <w:lang w:eastAsia="en-AU"/>
        </w:rPr>
      </w:pPr>
      <w:r w:rsidRPr="007E3AA4">
        <w:rPr>
          <w:rFonts w:asciiTheme="minorHAnsi" w:eastAsia="Times New Roman" w:hAnsiTheme="minorHAnsi" w:cs="Arial-BoldMT"/>
          <w:b/>
          <w:bCs/>
          <w:color w:val="000000"/>
          <w:sz w:val="22"/>
          <w:szCs w:val="22"/>
          <w:lang w:eastAsia="en-AU"/>
        </w:rPr>
        <w:t>SECTION 2 – INSPECTION AND TESTS</w:t>
      </w:r>
    </w:p>
    <w:p w:rsidR="00925422" w:rsidRPr="007E3AA4" w:rsidRDefault="00925422" w:rsidP="00925422">
      <w:pPr>
        <w:autoSpaceDE w:val="0"/>
        <w:autoSpaceDN w:val="0"/>
        <w:adjustRightInd w:val="0"/>
        <w:rPr>
          <w:rFonts w:asciiTheme="minorHAnsi" w:eastAsia="Times New Roman" w:hAnsiTheme="minorHAnsi" w:cs="Arial-BoldMT"/>
          <w:b/>
          <w:bCs/>
          <w:color w:val="000000"/>
          <w:sz w:val="22"/>
          <w:szCs w:val="22"/>
          <w:lang w:eastAsia="en-AU"/>
        </w:rPr>
      </w:pPr>
      <w:r w:rsidRPr="007E3AA4">
        <w:rPr>
          <w:rFonts w:asciiTheme="minorHAnsi" w:eastAsia="Times New Roman" w:hAnsiTheme="minorHAnsi" w:cs="Arial-BoldMT"/>
          <w:b/>
          <w:bCs/>
          <w:color w:val="000000"/>
          <w:sz w:val="22"/>
          <w:szCs w:val="22"/>
          <w:lang w:eastAsia="en-AU"/>
        </w:rPr>
        <w:t>2 GENERAL</w:t>
      </w:r>
    </w:p>
    <w:p w:rsidR="00925422" w:rsidRPr="007E3AA4" w:rsidRDefault="00925422" w:rsidP="00925422">
      <w:pPr>
        <w:autoSpaceDE w:val="0"/>
        <w:autoSpaceDN w:val="0"/>
        <w:adjustRightInd w:val="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Experience has shown that greater than 90 % of defects are detectable by visual inspection. Therefore, equipment shall be visually inspected, physically checked and tested in accordance with this section.</w:t>
      </w:r>
    </w:p>
    <w:p w:rsidR="00925422" w:rsidRPr="007E3AA4" w:rsidRDefault="00925422" w:rsidP="00925422">
      <w:pPr>
        <w:autoSpaceDE w:val="0"/>
        <w:autoSpaceDN w:val="0"/>
        <w:adjustRightInd w:val="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The frequency of repetition of that process is determined by the equipment type and by</w:t>
      </w:r>
      <w:r w:rsidR="00AE372C" w:rsidRPr="007E3AA4">
        <w:rPr>
          <w:rFonts w:asciiTheme="minorHAnsi" w:eastAsia="Times New Roman" w:hAnsiTheme="minorHAnsi" w:cs="ArialMT"/>
          <w:color w:val="000000"/>
          <w:sz w:val="22"/>
          <w:szCs w:val="22"/>
          <w:lang w:eastAsia="en-AU"/>
        </w:rPr>
        <w:t xml:space="preserve"> </w:t>
      </w:r>
      <w:r w:rsidRPr="007E3AA4">
        <w:rPr>
          <w:rFonts w:asciiTheme="minorHAnsi" w:eastAsia="Times New Roman" w:hAnsiTheme="minorHAnsi" w:cs="ArialMT"/>
          <w:color w:val="000000"/>
          <w:sz w:val="22"/>
          <w:szCs w:val="22"/>
          <w:lang w:eastAsia="en-AU"/>
        </w:rPr>
        <w:t>examination of the environment in which the equipment is used or working.</w:t>
      </w:r>
    </w:p>
    <w:p w:rsidR="00925422" w:rsidRPr="007E3AA4" w:rsidRDefault="00925422" w:rsidP="00925422">
      <w:pPr>
        <w:autoSpaceDE w:val="0"/>
        <w:autoSpaceDN w:val="0"/>
        <w:adjustRightInd w:val="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 xml:space="preserve">For indicative </w:t>
      </w:r>
      <w:proofErr w:type="gramStart"/>
      <w:r w:rsidRPr="007E3AA4">
        <w:rPr>
          <w:rFonts w:asciiTheme="minorHAnsi" w:eastAsia="Times New Roman" w:hAnsiTheme="minorHAnsi" w:cs="ArialMT"/>
          <w:color w:val="000000"/>
          <w:sz w:val="22"/>
          <w:szCs w:val="22"/>
          <w:lang w:eastAsia="en-AU"/>
        </w:rPr>
        <w:t>purposes</w:t>
      </w:r>
      <w:proofErr w:type="gramEnd"/>
      <w:r w:rsidRPr="007E3AA4">
        <w:rPr>
          <w:rFonts w:asciiTheme="minorHAnsi" w:eastAsia="Times New Roman" w:hAnsiTheme="minorHAnsi" w:cs="ArialMT"/>
          <w:color w:val="000000"/>
          <w:sz w:val="22"/>
          <w:szCs w:val="22"/>
          <w:lang w:eastAsia="en-AU"/>
        </w:rPr>
        <w:t xml:space="preserve"> a number of environments are shown in column (a) of Table 4. These are</w:t>
      </w:r>
      <w:r w:rsidR="00AE372C" w:rsidRPr="007E3AA4">
        <w:rPr>
          <w:rFonts w:asciiTheme="minorHAnsi" w:eastAsia="Times New Roman" w:hAnsiTheme="minorHAnsi" w:cs="ArialMT"/>
          <w:color w:val="000000"/>
          <w:sz w:val="22"/>
          <w:szCs w:val="22"/>
          <w:lang w:eastAsia="en-AU"/>
        </w:rPr>
        <w:t xml:space="preserve"> </w:t>
      </w:r>
      <w:r w:rsidRPr="007E3AA4">
        <w:rPr>
          <w:rFonts w:asciiTheme="minorHAnsi" w:eastAsia="Times New Roman" w:hAnsiTheme="minorHAnsi" w:cs="ArialMT"/>
          <w:color w:val="000000"/>
          <w:sz w:val="22"/>
          <w:szCs w:val="22"/>
          <w:lang w:eastAsia="en-AU"/>
        </w:rPr>
        <w:t>based on the perception of the level of hazard and the degree of abuse to which the equipment is</w:t>
      </w:r>
      <w:r w:rsidR="00AE372C" w:rsidRPr="007E3AA4">
        <w:rPr>
          <w:rFonts w:asciiTheme="minorHAnsi" w:eastAsia="Times New Roman" w:hAnsiTheme="minorHAnsi" w:cs="ArialMT"/>
          <w:color w:val="000000"/>
          <w:sz w:val="22"/>
          <w:szCs w:val="22"/>
          <w:lang w:eastAsia="en-AU"/>
        </w:rPr>
        <w:t xml:space="preserve"> </w:t>
      </w:r>
      <w:r w:rsidRPr="007E3AA4">
        <w:rPr>
          <w:rFonts w:asciiTheme="minorHAnsi" w:eastAsia="Times New Roman" w:hAnsiTheme="minorHAnsi" w:cs="ArialMT"/>
          <w:color w:val="000000"/>
          <w:sz w:val="22"/>
          <w:szCs w:val="22"/>
          <w:lang w:eastAsia="en-AU"/>
        </w:rPr>
        <w:t>typically exposed.</w:t>
      </w:r>
    </w:p>
    <w:p w:rsidR="00925422" w:rsidRPr="007E3AA4" w:rsidRDefault="00925422" w:rsidP="00925422">
      <w:pPr>
        <w:autoSpaceDE w:val="0"/>
        <w:autoSpaceDN w:val="0"/>
        <w:adjustRightInd w:val="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However, there will usually be multiple sub-environments within any location and the</w:t>
      </w:r>
      <w:r w:rsidR="00AE372C" w:rsidRPr="007E3AA4">
        <w:rPr>
          <w:rFonts w:asciiTheme="minorHAnsi" w:eastAsia="Times New Roman" w:hAnsiTheme="minorHAnsi" w:cs="ArialMT"/>
          <w:color w:val="000000"/>
          <w:sz w:val="22"/>
          <w:szCs w:val="22"/>
          <w:lang w:eastAsia="en-AU"/>
        </w:rPr>
        <w:t xml:space="preserve"> </w:t>
      </w:r>
      <w:r w:rsidRPr="007E3AA4">
        <w:rPr>
          <w:rFonts w:asciiTheme="minorHAnsi" w:eastAsia="Times New Roman" w:hAnsiTheme="minorHAnsi" w:cs="ArialMT"/>
          <w:color w:val="000000"/>
          <w:sz w:val="22"/>
          <w:szCs w:val="22"/>
          <w:lang w:eastAsia="en-AU"/>
        </w:rPr>
        <w:t xml:space="preserve">inspecting/testing frequency will be arrived at by an assessment by the </w:t>
      </w:r>
      <w:r w:rsidRPr="007E3AA4">
        <w:rPr>
          <w:rFonts w:asciiTheme="minorHAnsi" w:eastAsia="Times New Roman" w:hAnsiTheme="minorHAnsi" w:cs="Arial-BoldMT"/>
          <w:b/>
          <w:bCs/>
          <w:color w:val="000000"/>
          <w:sz w:val="22"/>
          <w:szCs w:val="22"/>
          <w:lang w:eastAsia="en-AU"/>
        </w:rPr>
        <w:t>responsible person</w:t>
      </w:r>
      <w:r w:rsidRPr="007E3AA4">
        <w:rPr>
          <w:rFonts w:asciiTheme="minorHAnsi" w:eastAsia="Times New Roman" w:hAnsiTheme="minorHAnsi" w:cs="ArialMT"/>
          <w:color w:val="000000"/>
          <w:sz w:val="22"/>
          <w:szCs w:val="22"/>
          <w:lang w:eastAsia="en-AU"/>
        </w:rPr>
        <w:t>, of</w:t>
      </w:r>
      <w:r w:rsidR="00AE372C" w:rsidRPr="007E3AA4">
        <w:rPr>
          <w:rFonts w:asciiTheme="minorHAnsi" w:eastAsia="Times New Roman" w:hAnsiTheme="minorHAnsi" w:cs="ArialMT"/>
          <w:color w:val="000000"/>
          <w:sz w:val="22"/>
          <w:szCs w:val="22"/>
          <w:lang w:eastAsia="en-AU"/>
        </w:rPr>
        <w:t xml:space="preserve"> </w:t>
      </w:r>
      <w:r w:rsidRPr="007E3AA4">
        <w:rPr>
          <w:rFonts w:asciiTheme="minorHAnsi" w:eastAsia="Times New Roman" w:hAnsiTheme="minorHAnsi" w:cs="ArialMT"/>
          <w:color w:val="000000"/>
          <w:sz w:val="22"/>
          <w:szCs w:val="22"/>
          <w:lang w:eastAsia="en-AU"/>
        </w:rPr>
        <w:t>the actual environment in which the equipment is placed or used.</w:t>
      </w:r>
    </w:p>
    <w:p w:rsidR="00B32C63" w:rsidRPr="007E3AA4" w:rsidRDefault="00B32C63" w:rsidP="00925422">
      <w:pPr>
        <w:autoSpaceDE w:val="0"/>
        <w:autoSpaceDN w:val="0"/>
        <w:adjustRightInd w:val="0"/>
        <w:rPr>
          <w:rFonts w:asciiTheme="minorHAnsi" w:eastAsia="Times New Roman" w:hAnsiTheme="minorHAnsi" w:cs="ArialMT"/>
          <w:color w:val="000000"/>
          <w:sz w:val="22"/>
          <w:szCs w:val="22"/>
          <w:lang w:eastAsia="en-AU"/>
        </w:rPr>
      </w:pPr>
    </w:p>
    <w:p w:rsidR="00925422" w:rsidRPr="007E3AA4" w:rsidRDefault="00925422" w:rsidP="00925422">
      <w:pPr>
        <w:autoSpaceDE w:val="0"/>
        <w:autoSpaceDN w:val="0"/>
        <w:adjustRightInd w:val="0"/>
        <w:rPr>
          <w:rFonts w:asciiTheme="minorHAnsi" w:eastAsia="Times New Roman" w:hAnsiTheme="minorHAnsi" w:cs="Arial-BoldMT"/>
          <w:b/>
          <w:bCs/>
          <w:color w:val="000000"/>
          <w:sz w:val="22"/>
          <w:szCs w:val="22"/>
          <w:lang w:eastAsia="en-AU"/>
        </w:rPr>
      </w:pPr>
      <w:r w:rsidRPr="007E3AA4">
        <w:rPr>
          <w:rFonts w:asciiTheme="minorHAnsi" w:eastAsia="Times New Roman" w:hAnsiTheme="minorHAnsi" w:cs="Arial-BoldMT"/>
          <w:b/>
          <w:bCs/>
          <w:color w:val="000000"/>
          <w:sz w:val="22"/>
          <w:szCs w:val="22"/>
          <w:lang w:eastAsia="en-AU"/>
        </w:rPr>
        <w:t>2.1 FREQUENCY OF INSPECTION AND TESTS</w:t>
      </w:r>
    </w:p>
    <w:p w:rsidR="00925422" w:rsidRPr="007E3AA4" w:rsidRDefault="00925422" w:rsidP="00925422">
      <w:pPr>
        <w:autoSpaceDE w:val="0"/>
        <w:autoSpaceDN w:val="0"/>
        <w:adjustRightInd w:val="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Electrical equipment shall be inspected and tested:</w:t>
      </w:r>
    </w:p>
    <w:p w:rsidR="00925422" w:rsidRPr="007E3AA4" w:rsidRDefault="00925422" w:rsidP="000E0FA0">
      <w:pPr>
        <w:autoSpaceDE w:val="0"/>
        <w:autoSpaceDN w:val="0"/>
        <w:adjustRightInd w:val="0"/>
        <w:ind w:left="72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(a) At intervals indicated in Table 4 (subject to a tolerance of two weeks), or as varied by a</w:t>
      </w:r>
      <w:r w:rsidR="00AE372C" w:rsidRPr="007E3AA4">
        <w:rPr>
          <w:rFonts w:asciiTheme="minorHAnsi" w:eastAsia="Times New Roman" w:hAnsiTheme="minorHAnsi" w:cs="ArialMT"/>
          <w:color w:val="000000"/>
          <w:sz w:val="22"/>
          <w:szCs w:val="22"/>
          <w:lang w:eastAsia="en-AU"/>
        </w:rPr>
        <w:t xml:space="preserve"> </w:t>
      </w:r>
      <w:r w:rsidRPr="007E3AA4">
        <w:rPr>
          <w:rFonts w:asciiTheme="minorHAnsi" w:eastAsia="Times New Roman" w:hAnsiTheme="minorHAnsi" w:cs="Arial-BoldMT"/>
          <w:b/>
          <w:bCs/>
          <w:color w:val="000000"/>
          <w:sz w:val="22"/>
          <w:szCs w:val="22"/>
          <w:lang w:eastAsia="en-AU"/>
        </w:rPr>
        <w:t xml:space="preserve">responsible person </w:t>
      </w:r>
      <w:r w:rsidRPr="007E3AA4">
        <w:rPr>
          <w:rFonts w:asciiTheme="minorHAnsi" w:eastAsia="Times New Roman" w:hAnsiTheme="minorHAnsi" w:cs="ArialMT"/>
          <w:color w:val="000000"/>
          <w:sz w:val="22"/>
          <w:szCs w:val="22"/>
          <w:lang w:eastAsia="en-AU"/>
        </w:rPr>
        <w:t>based on a risk assessment;</w:t>
      </w:r>
    </w:p>
    <w:p w:rsidR="00925422" w:rsidRPr="00925422" w:rsidRDefault="00925422" w:rsidP="000E0FA0">
      <w:pPr>
        <w:autoSpaceDE w:val="0"/>
        <w:autoSpaceDN w:val="0"/>
        <w:adjustRightInd w:val="0"/>
        <w:ind w:left="720"/>
        <w:rPr>
          <w:rFonts w:asciiTheme="minorHAnsi" w:eastAsia="Times New Roman" w:hAnsiTheme="minorHAnsi" w:cs="ArialMT"/>
          <w:color w:val="000000"/>
          <w:sz w:val="20"/>
          <w:lang w:eastAsia="en-AU"/>
        </w:rPr>
      </w:pPr>
      <w:r w:rsidRPr="00925422">
        <w:rPr>
          <w:rFonts w:asciiTheme="minorHAnsi" w:eastAsia="Times New Roman" w:hAnsiTheme="minorHAnsi" w:cs="ArialMT"/>
          <w:color w:val="000000"/>
          <w:sz w:val="20"/>
          <w:lang w:eastAsia="en-AU"/>
        </w:rPr>
        <w:t>NOTE –</w:t>
      </w:r>
    </w:p>
    <w:p w:rsidR="00925422" w:rsidRPr="00925422" w:rsidRDefault="00925422" w:rsidP="00AE372C">
      <w:pPr>
        <w:autoSpaceDE w:val="0"/>
        <w:autoSpaceDN w:val="0"/>
        <w:adjustRightInd w:val="0"/>
        <w:ind w:left="720"/>
        <w:rPr>
          <w:rFonts w:asciiTheme="minorHAnsi" w:eastAsia="Times New Roman" w:hAnsiTheme="minorHAnsi" w:cs="ArialMT"/>
          <w:color w:val="000000"/>
          <w:sz w:val="20"/>
          <w:lang w:eastAsia="en-AU"/>
        </w:rPr>
      </w:pPr>
      <w:r w:rsidRPr="00925422">
        <w:rPr>
          <w:rFonts w:asciiTheme="minorHAnsi" w:eastAsia="Times New Roman" w:hAnsiTheme="minorHAnsi" w:cs="ArialMT"/>
          <w:color w:val="000000"/>
          <w:sz w:val="20"/>
          <w:lang w:eastAsia="en-AU"/>
        </w:rPr>
        <w:t>(1) Regulatory authorities, other Standards, workplace safety requirements or</w:t>
      </w:r>
      <w:r w:rsidR="00AE372C" w:rsidRPr="00AE372C">
        <w:rPr>
          <w:rFonts w:asciiTheme="minorHAnsi" w:eastAsia="Times New Roman" w:hAnsiTheme="minorHAnsi" w:cs="ArialMT"/>
          <w:color w:val="000000"/>
          <w:sz w:val="20"/>
          <w:lang w:eastAsia="en-AU"/>
        </w:rPr>
        <w:t xml:space="preserve"> </w:t>
      </w:r>
      <w:r w:rsidRPr="00925422">
        <w:rPr>
          <w:rFonts w:asciiTheme="minorHAnsi" w:eastAsia="Times New Roman" w:hAnsiTheme="minorHAnsi" w:cs="ArialMT"/>
          <w:color w:val="000000"/>
          <w:sz w:val="20"/>
          <w:lang w:eastAsia="en-AU"/>
        </w:rPr>
        <w:t>manufacturers’ instructions may specify shorter or longer intervals appropriate to</w:t>
      </w:r>
      <w:r w:rsidR="00AE372C" w:rsidRPr="00AE372C">
        <w:rPr>
          <w:rFonts w:asciiTheme="minorHAnsi" w:eastAsia="Times New Roman" w:hAnsiTheme="minorHAnsi" w:cs="ArialMT"/>
          <w:color w:val="000000"/>
          <w:sz w:val="20"/>
          <w:lang w:eastAsia="en-AU"/>
        </w:rPr>
        <w:t xml:space="preserve"> </w:t>
      </w:r>
      <w:proofErr w:type="gramStart"/>
      <w:r w:rsidRPr="00925422">
        <w:rPr>
          <w:rFonts w:asciiTheme="minorHAnsi" w:eastAsia="Times New Roman" w:hAnsiTheme="minorHAnsi" w:cs="ArialMT"/>
          <w:color w:val="000000"/>
          <w:sz w:val="20"/>
          <w:lang w:eastAsia="en-AU"/>
        </w:rPr>
        <w:t>particular industries</w:t>
      </w:r>
      <w:proofErr w:type="gramEnd"/>
      <w:r w:rsidRPr="00925422">
        <w:rPr>
          <w:rFonts w:asciiTheme="minorHAnsi" w:eastAsia="Times New Roman" w:hAnsiTheme="minorHAnsi" w:cs="ArialMT"/>
          <w:color w:val="000000"/>
          <w:sz w:val="20"/>
          <w:lang w:eastAsia="en-AU"/>
        </w:rPr>
        <w:t xml:space="preserve"> or specific types of equipment.</w:t>
      </w:r>
    </w:p>
    <w:p w:rsidR="00925422" w:rsidRPr="00925422" w:rsidRDefault="00925422" w:rsidP="00AE372C">
      <w:pPr>
        <w:autoSpaceDE w:val="0"/>
        <w:autoSpaceDN w:val="0"/>
        <w:adjustRightInd w:val="0"/>
        <w:ind w:left="720"/>
        <w:rPr>
          <w:rFonts w:asciiTheme="minorHAnsi" w:eastAsia="Times New Roman" w:hAnsiTheme="minorHAnsi" w:cs="ArialMT"/>
          <w:color w:val="000000"/>
          <w:sz w:val="20"/>
          <w:lang w:eastAsia="en-AU"/>
        </w:rPr>
      </w:pPr>
      <w:r w:rsidRPr="00925422">
        <w:rPr>
          <w:rFonts w:asciiTheme="minorHAnsi" w:eastAsia="Times New Roman" w:hAnsiTheme="minorHAnsi" w:cs="ArialMT"/>
          <w:color w:val="000000"/>
          <w:sz w:val="20"/>
          <w:lang w:eastAsia="en-AU"/>
        </w:rPr>
        <w:t>(2) Some regulatory jurisdictions limit the inspection and testing of electrical equipment</w:t>
      </w:r>
      <w:r w:rsidR="00AE372C" w:rsidRPr="00AE372C">
        <w:rPr>
          <w:rFonts w:asciiTheme="minorHAnsi" w:eastAsia="Times New Roman" w:hAnsiTheme="minorHAnsi" w:cs="ArialMT"/>
          <w:color w:val="000000"/>
          <w:sz w:val="20"/>
          <w:lang w:eastAsia="en-AU"/>
        </w:rPr>
        <w:t xml:space="preserve"> </w:t>
      </w:r>
      <w:r w:rsidRPr="00925422">
        <w:rPr>
          <w:rFonts w:asciiTheme="minorHAnsi" w:eastAsia="Times New Roman" w:hAnsiTheme="minorHAnsi" w:cs="ArialMT"/>
          <w:color w:val="000000"/>
          <w:sz w:val="20"/>
          <w:lang w:eastAsia="en-AU"/>
        </w:rPr>
        <w:t xml:space="preserve">to defined work activity or working environments. For </w:t>
      </w:r>
      <w:proofErr w:type="gramStart"/>
      <w:r w:rsidRPr="00925422">
        <w:rPr>
          <w:rFonts w:asciiTheme="minorHAnsi" w:eastAsia="Times New Roman" w:hAnsiTheme="minorHAnsi" w:cs="ArialMT"/>
          <w:color w:val="000000"/>
          <w:sz w:val="20"/>
          <w:lang w:eastAsia="en-AU"/>
        </w:rPr>
        <w:t>example</w:t>
      </w:r>
      <w:proofErr w:type="gramEnd"/>
      <w:r w:rsidRPr="00925422">
        <w:rPr>
          <w:rFonts w:asciiTheme="minorHAnsi" w:eastAsia="Times New Roman" w:hAnsiTheme="minorHAnsi" w:cs="ArialMT"/>
          <w:color w:val="000000"/>
          <w:sz w:val="20"/>
          <w:lang w:eastAsia="en-AU"/>
        </w:rPr>
        <w:t xml:space="preserve"> construction work or</w:t>
      </w:r>
      <w:r w:rsidR="00AE372C" w:rsidRPr="00AE372C">
        <w:rPr>
          <w:rFonts w:asciiTheme="minorHAnsi" w:eastAsia="Times New Roman" w:hAnsiTheme="minorHAnsi" w:cs="ArialMT"/>
          <w:color w:val="000000"/>
          <w:sz w:val="20"/>
          <w:lang w:eastAsia="en-AU"/>
        </w:rPr>
        <w:t xml:space="preserve"> </w:t>
      </w:r>
      <w:r w:rsidRPr="00925422">
        <w:rPr>
          <w:rFonts w:asciiTheme="minorHAnsi" w:eastAsia="Times New Roman" w:hAnsiTheme="minorHAnsi" w:cs="ArialMT"/>
          <w:color w:val="000000"/>
          <w:sz w:val="20"/>
          <w:lang w:eastAsia="en-AU"/>
        </w:rPr>
        <w:t>equipment used in a hostile operating environment.</w:t>
      </w:r>
    </w:p>
    <w:p w:rsidR="00925422" w:rsidRPr="00925422" w:rsidRDefault="00925422" w:rsidP="000E0FA0">
      <w:pPr>
        <w:autoSpaceDE w:val="0"/>
        <w:autoSpaceDN w:val="0"/>
        <w:adjustRightInd w:val="0"/>
        <w:ind w:left="720"/>
        <w:rPr>
          <w:rFonts w:asciiTheme="minorHAnsi" w:eastAsia="Times New Roman" w:hAnsiTheme="minorHAnsi" w:cs="ArialMT"/>
          <w:color w:val="000000"/>
          <w:szCs w:val="24"/>
          <w:lang w:eastAsia="en-AU"/>
        </w:rPr>
      </w:pPr>
      <w:r w:rsidRPr="00925422">
        <w:rPr>
          <w:rFonts w:asciiTheme="minorHAnsi" w:eastAsia="Times New Roman" w:hAnsiTheme="minorHAnsi" w:cs="ArialMT"/>
          <w:color w:val="000000"/>
          <w:szCs w:val="24"/>
          <w:lang w:eastAsia="en-AU"/>
        </w:rPr>
        <w:t>(b) On return to service after a repair or servicing, that could have affected the electrical safety</w:t>
      </w:r>
      <w:r w:rsidR="00AE372C">
        <w:rPr>
          <w:rFonts w:asciiTheme="minorHAnsi" w:eastAsia="Times New Roman" w:hAnsiTheme="minorHAnsi" w:cs="ArialMT"/>
          <w:color w:val="000000"/>
          <w:szCs w:val="24"/>
          <w:lang w:eastAsia="en-AU"/>
        </w:rPr>
        <w:t xml:space="preserve"> </w:t>
      </w:r>
      <w:r w:rsidRPr="00925422">
        <w:rPr>
          <w:rFonts w:asciiTheme="minorHAnsi" w:eastAsia="Times New Roman" w:hAnsiTheme="minorHAnsi" w:cs="ArialMT"/>
          <w:color w:val="000000"/>
          <w:szCs w:val="24"/>
          <w:lang w:eastAsia="en-AU"/>
        </w:rPr>
        <w:t>of the equipment. AS/NZS 5762 may apply;</w:t>
      </w:r>
    </w:p>
    <w:p w:rsidR="00925422" w:rsidRPr="00925422" w:rsidRDefault="00925422" w:rsidP="000E0FA0">
      <w:pPr>
        <w:autoSpaceDE w:val="0"/>
        <w:autoSpaceDN w:val="0"/>
        <w:adjustRightInd w:val="0"/>
        <w:ind w:left="720"/>
        <w:rPr>
          <w:rFonts w:asciiTheme="minorHAnsi" w:eastAsia="Times New Roman" w:hAnsiTheme="minorHAnsi" w:cs="ArialMT"/>
          <w:color w:val="000000"/>
          <w:szCs w:val="24"/>
          <w:lang w:eastAsia="en-AU"/>
        </w:rPr>
      </w:pPr>
      <w:r w:rsidRPr="00925422">
        <w:rPr>
          <w:rFonts w:asciiTheme="minorHAnsi" w:eastAsia="Times New Roman" w:hAnsiTheme="minorHAnsi" w:cs="ArialMT"/>
          <w:color w:val="000000"/>
          <w:szCs w:val="24"/>
          <w:lang w:eastAsia="en-AU"/>
        </w:rPr>
        <w:t>(c) Before placement in service, if sourced from a second-hand sale, to ensure the equipment</w:t>
      </w:r>
      <w:r w:rsidR="00AE372C">
        <w:rPr>
          <w:rFonts w:asciiTheme="minorHAnsi" w:eastAsia="Times New Roman" w:hAnsiTheme="minorHAnsi" w:cs="ArialMT"/>
          <w:color w:val="000000"/>
          <w:szCs w:val="24"/>
          <w:lang w:eastAsia="en-AU"/>
        </w:rPr>
        <w:t xml:space="preserve"> </w:t>
      </w:r>
      <w:r w:rsidRPr="00925422">
        <w:rPr>
          <w:rFonts w:asciiTheme="minorHAnsi" w:eastAsia="Times New Roman" w:hAnsiTheme="minorHAnsi" w:cs="ArialMT"/>
          <w:color w:val="000000"/>
          <w:szCs w:val="24"/>
          <w:lang w:eastAsia="en-AU"/>
        </w:rPr>
        <w:t>is safe. AS/NZS 5761 shall apply.</w:t>
      </w:r>
    </w:p>
    <w:p w:rsidR="00925422" w:rsidRPr="007E3AA4" w:rsidRDefault="00925422" w:rsidP="00925422">
      <w:pPr>
        <w:autoSpaceDE w:val="0"/>
        <w:autoSpaceDN w:val="0"/>
        <w:adjustRightInd w:val="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 xml:space="preserve">To allow the flexibility to devise a customized solution for </w:t>
      </w:r>
      <w:proofErr w:type="gramStart"/>
      <w:r w:rsidRPr="007E3AA4">
        <w:rPr>
          <w:rFonts w:asciiTheme="minorHAnsi" w:eastAsia="Times New Roman" w:hAnsiTheme="minorHAnsi" w:cs="ArialMT"/>
          <w:color w:val="000000"/>
          <w:sz w:val="22"/>
          <w:szCs w:val="22"/>
          <w:lang w:eastAsia="en-AU"/>
        </w:rPr>
        <w:t>particular circumstances</w:t>
      </w:r>
      <w:proofErr w:type="gramEnd"/>
      <w:r w:rsidRPr="007E3AA4">
        <w:rPr>
          <w:rFonts w:asciiTheme="minorHAnsi" w:eastAsia="Times New Roman" w:hAnsiTheme="minorHAnsi" w:cs="ArialMT"/>
          <w:color w:val="000000"/>
          <w:sz w:val="22"/>
          <w:szCs w:val="22"/>
          <w:lang w:eastAsia="en-AU"/>
        </w:rPr>
        <w:t>, organizations</w:t>
      </w:r>
      <w:r w:rsidR="00AE372C" w:rsidRPr="007E3AA4">
        <w:rPr>
          <w:rFonts w:asciiTheme="minorHAnsi" w:eastAsia="Times New Roman" w:hAnsiTheme="minorHAnsi" w:cs="ArialMT"/>
          <w:color w:val="000000"/>
          <w:sz w:val="22"/>
          <w:szCs w:val="22"/>
          <w:lang w:eastAsia="en-AU"/>
        </w:rPr>
        <w:t xml:space="preserve"> </w:t>
      </w:r>
      <w:r w:rsidRPr="007E3AA4">
        <w:rPr>
          <w:rFonts w:asciiTheme="minorHAnsi" w:eastAsia="Times New Roman" w:hAnsiTheme="minorHAnsi" w:cs="ArialMT"/>
          <w:color w:val="000000"/>
          <w:sz w:val="22"/>
          <w:szCs w:val="22"/>
          <w:lang w:eastAsia="en-AU"/>
        </w:rPr>
        <w:t>with sufficient expertise and resource may substitute other periods than those indicated in</w:t>
      </w:r>
      <w:r w:rsidR="00AE372C" w:rsidRPr="007E3AA4">
        <w:rPr>
          <w:rFonts w:asciiTheme="minorHAnsi" w:eastAsia="Times New Roman" w:hAnsiTheme="minorHAnsi" w:cs="ArialMT"/>
          <w:color w:val="000000"/>
          <w:sz w:val="22"/>
          <w:szCs w:val="22"/>
          <w:lang w:eastAsia="en-AU"/>
        </w:rPr>
        <w:t xml:space="preserve"> </w:t>
      </w:r>
      <w:r w:rsidRPr="007E3AA4">
        <w:rPr>
          <w:rFonts w:asciiTheme="minorHAnsi" w:eastAsia="Times New Roman" w:hAnsiTheme="minorHAnsi" w:cs="ArialMT"/>
          <w:color w:val="000000"/>
          <w:sz w:val="22"/>
          <w:szCs w:val="22"/>
          <w:lang w:eastAsia="en-AU"/>
        </w:rPr>
        <w:t>Table 4, after conducting a documented risk assessment, undertaken in accordance with the</w:t>
      </w:r>
    </w:p>
    <w:p w:rsidR="00925422" w:rsidRPr="007E3AA4" w:rsidRDefault="00925422" w:rsidP="00925422">
      <w:pPr>
        <w:autoSpaceDE w:val="0"/>
        <w:autoSpaceDN w:val="0"/>
        <w:adjustRightInd w:val="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process specified in AS/NZS ISO 31000, and taking into consideration any relevant legislative</w:t>
      </w:r>
      <w:r w:rsidR="00AE372C" w:rsidRPr="007E3AA4">
        <w:rPr>
          <w:rFonts w:asciiTheme="minorHAnsi" w:eastAsia="Times New Roman" w:hAnsiTheme="minorHAnsi" w:cs="ArialMT"/>
          <w:color w:val="000000"/>
          <w:sz w:val="22"/>
          <w:szCs w:val="22"/>
          <w:lang w:eastAsia="en-AU"/>
        </w:rPr>
        <w:t xml:space="preserve"> </w:t>
      </w:r>
      <w:r w:rsidRPr="007E3AA4">
        <w:rPr>
          <w:rFonts w:asciiTheme="minorHAnsi" w:eastAsia="Times New Roman" w:hAnsiTheme="minorHAnsi" w:cs="ArialMT"/>
          <w:color w:val="000000"/>
          <w:sz w:val="22"/>
          <w:szCs w:val="22"/>
          <w:lang w:eastAsia="en-AU"/>
        </w:rPr>
        <w:t>requirements or guidelines.</w:t>
      </w:r>
    </w:p>
    <w:p w:rsidR="00925422" w:rsidRPr="007E3AA4" w:rsidRDefault="00925422" w:rsidP="00925422">
      <w:pPr>
        <w:autoSpaceDE w:val="0"/>
        <w:autoSpaceDN w:val="0"/>
        <w:adjustRightInd w:val="0"/>
        <w:rPr>
          <w:rFonts w:asciiTheme="minorHAnsi" w:eastAsia="Times New Roman" w:hAnsiTheme="minorHAnsi" w:cs="ArialMT"/>
          <w:color w:val="000000"/>
          <w:sz w:val="22"/>
          <w:szCs w:val="22"/>
          <w:lang w:eastAsia="en-AU"/>
        </w:rPr>
      </w:pPr>
      <w:r w:rsidRPr="007E3AA4">
        <w:rPr>
          <w:rFonts w:asciiTheme="minorHAnsi" w:eastAsia="Times New Roman" w:hAnsiTheme="minorHAnsi" w:cs="ArialMT"/>
          <w:color w:val="000000"/>
          <w:sz w:val="22"/>
          <w:szCs w:val="22"/>
          <w:lang w:eastAsia="en-AU"/>
        </w:rPr>
        <w:t xml:space="preserve">This risk assessment option does not apply to equipment offered for </w:t>
      </w:r>
      <w:r w:rsidRPr="007E3AA4">
        <w:rPr>
          <w:rFonts w:asciiTheme="minorHAnsi" w:eastAsia="Times New Roman" w:hAnsiTheme="minorHAnsi" w:cs="Arial-BoldMT"/>
          <w:b/>
          <w:bCs/>
          <w:color w:val="000000"/>
          <w:sz w:val="22"/>
          <w:szCs w:val="22"/>
          <w:lang w:eastAsia="en-AU"/>
        </w:rPr>
        <w:t>hire</w:t>
      </w:r>
      <w:r w:rsidRPr="007E3AA4">
        <w:rPr>
          <w:rFonts w:asciiTheme="minorHAnsi" w:eastAsia="Times New Roman" w:hAnsiTheme="minorHAnsi" w:cs="ArialMT"/>
          <w:color w:val="000000"/>
          <w:sz w:val="22"/>
          <w:szCs w:val="22"/>
          <w:lang w:eastAsia="en-AU"/>
        </w:rPr>
        <w:t>.</w:t>
      </w:r>
    </w:p>
    <w:p w:rsidR="00AE372C" w:rsidRPr="00627F94" w:rsidRDefault="00925422" w:rsidP="00627F94">
      <w:pPr>
        <w:autoSpaceDE w:val="0"/>
        <w:autoSpaceDN w:val="0"/>
        <w:adjustRightInd w:val="0"/>
        <w:rPr>
          <w:rFonts w:asciiTheme="minorHAnsi" w:eastAsia="Times New Roman" w:hAnsiTheme="minorHAnsi" w:cs="ArialMT"/>
          <w:color w:val="000000"/>
          <w:sz w:val="20"/>
          <w:lang w:eastAsia="en-AU"/>
        </w:rPr>
      </w:pPr>
      <w:r w:rsidRPr="00925422">
        <w:rPr>
          <w:rFonts w:asciiTheme="minorHAnsi" w:eastAsia="Times New Roman" w:hAnsiTheme="minorHAnsi" w:cs="ArialMT"/>
          <w:color w:val="000000"/>
          <w:sz w:val="20"/>
          <w:lang w:eastAsia="en-AU"/>
        </w:rPr>
        <w:t xml:space="preserve">NOTE – This exclusion has been made as the </w:t>
      </w:r>
      <w:r w:rsidRPr="00925422">
        <w:rPr>
          <w:rFonts w:asciiTheme="minorHAnsi" w:eastAsia="Times New Roman" w:hAnsiTheme="minorHAnsi" w:cs="Arial-BoldMT"/>
          <w:b/>
          <w:bCs/>
          <w:color w:val="000000"/>
          <w:sz w:val="20"/>
          <w:lang w:eastAsia="en-AU"/>
        </w:rPr>
        <w:t xml:space="preserve">hirer </w:t>
      </w:r>
      <w:r w:rsidRPr="00925422">
        <w:rPr>
          <w:rFonts w:asciiTheme="minorHAnsi" w:eastAsia="Times New Roman" w:hAnsiTheme="minorHAnsi" w:cs="ArialMT"/>
          <w:color w:val="000000"/>
          <w:sz w:val="20"/>
          <w:lang w:eastAsia="en-AU"/>
        </w:rPr>
        <w:t>has no control over the end use of the</w:t>
      </w:r>
      <w:r w:rsidR="00AE372C" w:rsidRPr="00AE372C">
        <w:rPr>
          <w:rFonts w:asciiTheme="minorHAnsi" w:eastAsia="Times New Roman" w:hAnsiTheme="minorHAnsi" w:cs="ArialMT"/>
          <w:color w:val="000000"/>
          <w:sz w:val="20"/>
          <w:lang w:eastAsia="en-AU"/>
        </w:rPr>
        <w:t xml:space="preserve"> </w:t>
      </w:r>
      <w:r w:rsidRPr="00925422">
        <w:rPr>
          <w:rFonts w:asciiTheme="minorHAnsi" w:eastAsia="Times New Roman" w:hAnsiTheme="minorHAnsi" w:cs="ArialMT"/>
          <w:color w:val="000000"/>
          <w:sz w:val="20"/>
          <w:lang w:eastAsia="en-AU"/>
        </w:rPr>
        <w:t xml:space="preserve">equipment and therefore a valid risk assessment cannot be conducted by the </w:t>
      </w:r>
      <w:r w:rsidRPr="00925422">
        <w:rPr>
          <w:rFonts w:asciiTheme="minorHAnsi" w:eastAsia="Times New Roman" w:hAnsiTheme="minorHAnsi" w:cs="Arial-BoldMT"/>
          <w:b/>
          <w:bCs/>
          <w:color w:val="000000"/>
          <w:sz w:val="20"/>
          <w:lang w:eastAsia="en-AU"/>
        </w:rPr>
        <w:t>hirer</w:t>
      </w:r>
      <w:r w:rsidR="00627F94">
        <w:rPr>
          <w:rFonts w:asciiTheme="minorHAnsi" w:eastAsia="Times New Roman" w:hAnsiTheme="minorHAnsi" w:cs="ArialMT"/>
          <w:color w:val="000000"/>
          <w:sz w:val="20"/>
          <w:lang w:eastAsia="en-AU"/>
        </w:rPr>
        <w:t>.</w:t>
      </w:r>
    </w:p>
    <w:p w:rsidR="00C92847" w:rsidRPr="00C92847" w:rsidRDefault="00C92847" w:rsidP="00C92847">
      <w:pPr>
        <w:autoSpaceDE w:val="0"/>
        <w:autoSpaceDN w:val="0"/>
        <w:adjustRightInd w:val="0"/>
        <w:rPr>
          <w:rFonts w:ascii="ArialMT" w:eastAsia="Times New Roman" w:hAnsi="ArialMT" w:cs="ArialMT"/>
          <w:color w:val="000000"/>
          <w:sz w:val="20"/>
          <w:lang w:eastAsia="en-AU"/>
        </w:rPr>
      </w:pPr>
    </w:p>
    <w:tbl>
      <w:tblPr>
        <w:tblStyle w:val="TableGrid"/>
        <w:tblpPr w:leftFromText="180" w:rightFromText="180" w:vertAnchor="page" w:horzAnchor="margin" w:tblpY="3481"/>
        <w:tblW w:w="14567" w:type="dxa"/>
        <w:tblLook w:val="04A0" w:firstRow="1" w:lastRow="0" w:firstColumn="1" w:lastColumn="0" w:noHBand="0" w:noVBand="1"/>
      </w:tblPr>
      <w:tblGrid>
        <w:gridCol w:w="2676"/>
        <w:gridCol w:w="2677"/>
        <w:gridCol w:w="2552"/>
        <w:gridCol w:w="1559"/>
        <w:gridCol w:w="1559"/>
        <w:gridCol w:w="1701"/>
        <w:gridCol w:w="1843"/>
      </w:tblGrid>
      <w:tr w:rsidR="0036633B" w:rsidRPr="000249F0" w:rsidTr="00627F94">
        <w:trPr>
          <w:trHeight w:val="397"/>
        </w:trPr>
        <w:tc>
          <w:tcPr>
            <w:tcW w:w="5353" w:type="dxa"/>
            <w:gridSpan w:val="2"/>
            <w:vMerge w:val="restart"/>
            <w:shd w:val="clear" w:color="auto" w:fill="A7E8FF"/>
            <w:vAlign w:val="center"/>
          </w:tcPr>
          <w:p w:rsidR="0036633B" w:rsidRPr="00612FA3" w:rsidRDefault="0036633B" w:rsidP="00627F94">
            <w:pPr>
              <w:jc w:val="center"/>
              <w:rPr>
                <w:b/>
              </w:rPr>
            </w:pPr>
            <w:bookmarkStart w:id="0" w:name="_Hlk480296796"/>
            <w:r w:rsidRPr="00612FA3">
              <w:rPr>
                <w:b/>
              </w:rPr>
              <w:lastRenderedPageBreak/>
              <w:t>Type of environment and/or equipment (a)</w:t>
            </w:r>
          </w:p>
        </w:tc>
        <w:tc>
          <w:tcPr>
            <w:tcW w:w="9214" w:type="dxa"/>
            <w:gridSpan w:val="5"/>
            <w:shd w:val="clear" w:color="auto" w:fill="FF99CC"/>
            <w:vAlign w:val="center"/>
          </w:tcPr>
          <w:p w:rsidR="0036633B" w:rsidRPr="00612FA3" w:rsidRDefault="0036633B" w:rsidP="00627F94">
            <w:pPr>
              <w:jc w:val="center"/>
              <w:rPr>
                <w:b/>
              </w:rPr>
            </w:pPr>
            <w:r w:rsidRPr="00612FA3">
              <w:rPr>
                <w:b/>
              </w:rPr>
              <w:t>Interval between inspection and tests</w:t>
            </w:r>
          </w:p>
        </w:tc>
      </w:tr>
      <w:tr w:rsidR="0036633B" w:rsidRPr="000249F0" w:rsidTr="00627F94">
        <w:trPr>
          <w:trHeight w:val="397"/>
        </w:trPr>
        <w:tc>
          <w:tcPr>
            <w:tcW w:w="5353" w:type="dxa"/>
            <w:gridSpan w:val="2"/>
            <w:vMerge/>
            <w:shd w:val="clear" w:color="auto" w:fill="A7E8FF"/>
          </w:tcPr>
          <w:p w:rsidR="0036633B" w:rsidRPr="00612FA3" w:rsidRDefault="0036633B" w:rsidP="00627F94">
            <w:pPr>
              <w:jc w:val="center"/>
              <w:rPr>
                <w:b/>
              </w:rPr>
            </w:pPr>
          </w:p>
        </w:tc>
        <w:tc>
          <w:tcPr>
            <w:tcW w:w="2552" w:type="dxa"/>
            <w:vMerge w:val="restart"/>
            <w:shd w:val="clear" w:color="auto" w:fill="81FFBA"/>
          </w:tcPr>
          <w:p w:rsidR="0036633B" w:rsidRPr="00612FA3" w:rsidRDefault="0036633B" w:rsidP="00627F94">
            <w:pPr>
              <w:jc w:val="center"/>
              <w:rPr>
                <w:b/>
              </w:rPr>
            </w:pPr>
            <w:r w:rsidRPr="00612FA3">
              <w:rPr>
                <w:b/>
              </w:rPr>
              <w:t xml:space="preserve">Equipment including Class </w:t>
            </w:r>
            <w:r>
              <w:rPr>
                <w:b/>
              </w:rPr>
              <w:t>I</w:t>
            </w:r>
            <w:r w:rsidRPr="00612FA3">
              <w:rPr>
                <w:b/>
              </w:rPr>
              <w:t xml:space="preserve"> equipment, Class </w:t>
            </w:r>
            <w:r>
              <w:rPr>
                <w:b/>
              </w:rPr>
              <w:t>II</w:t>
            </w:r>
            <w:r w:rsidRPr="00612FA3">
              <w:rPr>
                <w:b/>
              </w:rPr>
              <w:t xml:space="preserve"> equipment, cord sets, cord extension sets and EDOD’s (b)</w:t>
            </w:r>
          </w:p>
        </w:tc>
        <w:tc>
          <w:tcPr>
            <w:tcW w:w="6662" w:type="dxa"/>
            <w:gridSpan w:val="4"/>
            <w:shd w:val="clear" w:color="auto" w:fill="FFFF97"/>
            <w:vAlign w:val="center"/>
          </w:tcPr>
          <w:p w:rsidR="0036633B" w:rsidRPr="00612FA3" w:rsidRDefault="0036633B" w:rsidP="00627F94">
            <w:pPr>
              <w:jc w:val="center"/>
              <w:rPr>
                <w:b/>
              </w:rPr>
            </w:pPr>
            <w:r w:rsidRPr="00612FA3">
              <w:rPr>
                <w:b/>
              </w:rPr>
              <w:t>Residual Current Devices (RCD’s)</w:t>
            </w:r>
          </w:p>
        </w:tc>
      </w:tr>
      <w:tr w:rsidR="0036633B" w:rsidRPr="000249F0" w:rsidTr="00627F94">
        <w:trPr>
          <w:trHeight w:val="397"/>
        </w:trPr>
        <w:tc>
          <w:tcPr>
            <w:tcW w:w="5353" w:type="dxa"/>
            <w:gridSpan w:val="2"/>
            <w:vMerge/>
            <w:shd w:val="clear" w:color="auto" w:fill="A7E8FF"/>
          </w:tcPr>
          <w:p w:rsidR="0036633B" w:rsidRPr="00612FA3" w:rsidRDefault="0036633B" w:rsidP="00627F94">
            <w:pPr>
              <w:rPr>
                <w:b/>
              </w:rPr>
            </w:pPr>
          </w:p>
        </w:tc>
        <w:tc>
          <w:tcPr>
            <w:tcW w:w="2552" w:type="dxa"/>
            <w:vMerge/>
            <w:shd w:val="clear" w:color="auto" w:fill="81FFBA"/>
          </w:tcPr>
          <w:p w:rsidR="0036633B" w:rsidRPr="00612FA3" w:rsidRDefault="0036633B" w:rsidP="00627F94">
            <w:pPr>
              <w:rPr>
                <w:b/>
              </w:rPr>
            </w:pPr>
          </w:p>
        </w:tc>
        <w:tc>
          <w:tcPr>
            <w:tcW w:w="3118" w:type="dxa"/>
            <w:gridSpan w:val="2"/>
            <w:shd w:val="clear" w:color="auto" w:fill="FFE38B"/>
            <w:vAlign w:val="center"/>
          </w:tcPr>
          <w:p w:rsidR="0036633B" w:rsidRPr="00612FA3" w:rsidRDefault="0036633B" w:rsidP="00627F94">
            <w:pPr>
              <w:jc w:val="center"/>
              <w:rPr>
                <w:b/>
              </w:rPr>
            </w:pPr>
            <w:r w:rsidRPr="00612FA3">
              <w:rPr>
                <w:b/>
              </w:rPr>
              <w:t>Push Button test by user</w:t>
            </w:r>
          </w:p>
        </w:tc>
        <w:tc>
          <w:tcPr>
            <w:tcW w:w="3544" w:type="dxa"/>
            <w:gridSpan w:val="2"/>
            <w:shd w:val="clear" w:color="auto" w:fill="ABD5FF"/>
            <w:vAlign w:val="center"/>
          </w:tcPr>
          <w:p w:rsidR="0036633B" w:rsidRPr="00612FA3" w:rsidRDefault="0036633B" w:rsidP="00627F94">
            <w:pPr>
              <w:jc w:val="center"/>
              <w:rPr>
                <w:b/>
              </w:rPr>
            </w:pPr>
            <w:r w:rsidRPr="00612FA3">
              <w:rPr>
                <w:b/>
              </w:rPr>
              <w:t>Operating time and push button test</w:t>
            </w:r>
          </w:p>
        </w:tc>
      </w:tr>
      <w:tr w:rsidR="0036633B" w:rsidRPr="000249F0" w:rsidTr="00627F94">
        <w:trPr>
          <w:trHeight w:val="397"/>
        </w:trPr>
        <w:tc>
          <w:tcPr>
            <w:tcW w:w="5353" w:type="dxa"/>
            <w:gridSpan w:val="2"/>
            <w:vMerge/>
            <w:shd w:val="clear" w:color="auto" w:fill="A7E8FF"/>
          </w:tcPr>
          <w:p w:rsidR="0036633B" w:rsidRPr="00612FA3" w:rsidRDefault="0036633B" w:rsidP="00627F94">
            <w:pPr>
              <w:rPr>
                <w:b/>
              </w:rPr>
            </w:pPr>
          </w:p>
        </w:tc>
        <w:tc>
          <w:tcPr>
            <w:tcW w:w="2552" w:type="dxa"/>
            <w:vMerge/>
            <w:shd w:val="clear" w:color="auto" w:fill="81FFBA"/>
          </w:tcPr>
          <w:p w:rsidR="0036633B" w:rsidRPr="00612FA3" w:rsidRDefault="0036633B" w:rsidP="00627F94">
            <w:pPr>
              <w:rPr>
                <w:b/>
              </w:rPr>
            </w:pPr>
          </w:p>
        </w:tc>
        <w:tc>
          <w:tcPr>
            <w:tcW w:w="1559" w:type="dxa"/>
            <w:shd w:val="clear" w:color="auto" w:fill="9999FF"/>
            <w:vAlign w:val="center"/>
          </w:tcPr>
          <w:p w:rsidR="0036633B" w:rsidRPr="00612FA3" w:rsidRDefault="0036633B" w:rsidP="00627F94">
            <w:pPr>
              <w:jc w:val="center"/>
              <w:rPr>
                <w:b/>
              </w:rPr>
            </w:pPr>
            <w:r w:rsidRPr="00612FA3">
              <w:rPr>
                <w:b/>
              </w:rPr>
              <w:t>Portable (c)</w:t>
            </w:r>
          </w:p>
        </w:tc>
        <w:tc>
          <w:tcPr>
            <w:tcW w:w="1559" w:type="dxa"/>
            <w:shd w:val="clear" w:color="auto" w:fill="99FF99"/>
            <w:vAlign w:val="center"/>
          </w:tcPr>
          <w:p w:rsidR="0036633B" w:rsidRPr="00612FA3" w:rsidRDefault="0036633B" w:rsidP="00627F94">
            <w:pPr>
              <w:jc w:val="center"/>
              <w:rPr>
                <w:b/>
              </w:rPr>
            </w:pPr>
            <w:r w:rsidRPr="00612FA3">
              <w:rPr>
                <w:b/>
              </w:rPr>
              <w:t>Fixed (d)</w:t>
            </w:r>
          </w:p>
        </w:tc>
        <w:tc>
          <w:tcPr>
            <w:tcW w:w="1701" w:type="dxa"/>
            <w:shd w:val="clear" w:color="auto" w:fill="9999FF"/>
            <w:vAlign w:val="center"/>
          </w:tcPr>
          <w:p w:rsidR="0036633B" w:rsidRPr="00612FA3" w:rsidRDefault="0036633B" w:rsidP="00627F94">
            <w:pPr>
              <w:jc w:val="center"/>
              <w:rPr>
                <w:b/>
              </w:rPr>
            </w:pPr>
            <w:r w:rsidRPr="00612FA3">
              <w:rPr>
                <w:b/>
              </w:rPr>
              <w:t>Portable (c)</w:t>
            </w:r>
          </w:p>
        </w:tc>
        <w:tc>
          <w:tcPr>
            <w:tcW w:w="1843" w:type="dxa"/>
            <w:shd w:val="clear" w:color="auto" w:fill="99FF99"/>
            <w:vAlign w:val="center"/>
          </w:tcPr>
          <w:p w:rsidR="0036633B" w:rsidRPr="00612FA3" w:rsidRDefault="0036633B" w:rsidP="00627F94">
            <w:pPr>
              <w:jc w:val="center"/>
              <w:rPr>
                <w:b/>
              </w:rPr>
            </w:pPr>
            <w:r w:rsidRPr="00612FA3">
              <w:rPr>
                <w:b/>
              </w:rPr>
              <w:t>Fixed (d)</w:t>
            </w:r>
          </w:p>
        </w:tc>
      </w:tr>
      <w:bookmarkEnd w:id="0"/>
      <w:tr w:rsidR="0036633B" w:rsidTr="00627F94">
        <w:trPr>
          <w:trHeight w:val="510"/>
        </w:trPr>
        <w:tc>
          <w:tcPr>
            <w:tcW w:w="5353" w:type="dxa"/>
            <w:gridSpan w:val="2"/>
            <w:vAlign w:val="center"/>
          </w:tcPr>
          <w:p w:rsidR="0036633B" w:rsidRPr="00612FA3" w:rsidRDefault="0036633B" w:rsidP="00627F94">
            <w:pPr>
              <w:pStyle w:val="ListParagraph"/>
              <w:numPr>
                <w:ilvl w:val="0"/>
                <w:numId w:val="2"/>
              </w:numPr>
              <w:rPr>
                <w:sz w:val="20"/>
              </w:rPr>
            </w:pPr>
            <w:r w:rsidRPr="00612FA3">
              <w:rPr>
                <w:sz w:val="20"/>
              </w:rPr>
              <w:t>Factories, workshops, places of work or repair manufacturing, assembly, maintenance, or fabrication</w:t>
            </w:r>
          </w:p>
        </w:tc>
        <w:tc>
          <w:tcPr>
            <w:tcW w:w="2552" w:type="dxa"/>
            <w:vAlign w:val="center"/>
          </w:tcPr>
          <w:p w:rsidR="0036633B" w:rsidRPr="00612FA3" w:rsidRDefault="0036633B" w:rsidP="00627F94">
            <w:pPr>
              <w:jc w:val="center"/>
              <w:rPr>
                <w:sz w:val="20"/>
              </w:rPr>
            </w:pPr>
            <w:r w:rsidRPr="00612FA3">
              <w:rPr>
                <w:sz w:val="20"/>
              </w:rPr>
              <w:t>6 Months</w:t>
            </w:r>
          </w:p>
        </w:tc>
        <w:tc>
          <w:tcPr>
            <w:tcW w:w="1559" w:type="dxa"/>
            <w:vAlign w:val="center"/>
          </w:tcPr>
          <w:p w:rsidR="0036633B" w:rsidRPr="00612FA3" w:rsidRDefault="0036633B" w:rsidP="00627F94">
            <w:pPr>
              <w:jc w:val="center"/>
              <w:rPr>
                <w:sz w:val="20"/>
              </w:rPr>
            </w:pPr>
            <w:r w:rsidRPr="00612FA3">
              <w:rPr>
                <w:sz w:val="20"/>
              </w:rPr>
              <w:t>Daily, or before each use</w:t>
            </w:r>
          </w:p>
        </w:tc>
        <w:tc>
          <w:tcPr>
            <w:tcW w:w="1559" w:type="dxa"/>
            <w:vAlign w:val="center"/>
          </w:tcPr>
          <w:p w:rsidR="0036633B" w:rsidRPr="00612FA3" w:rsidRDefault="0036633B" w:rsidP="00627F94">
            <w:pPr>
              <w:jc w:val="center"/>
              <w:rPr>
                <w:sz w:val="20"/>
              </w:rPr>
            </w:pPr>
            <w:r w:rsidRPr="00612FA3">
              <w:rPr>
                <w:sz w:val="20"/>
              </w:rPr>
              <w:t>6 Months</w:t>
            </w:r>
          </w:p>
        </w:tc>
        <w:tc>
          <w:tcPr>
            <w:tcW w:w="1701" w:type="dxa"/>
            <w:vAlign w:val="center"/>
          </w:tcPr>
          <w:p w:rsidR="0036633B" w:rsidRPr="00612FA3" w:rsidRDefault="0036633B" w:rsidP="00627F94">
            <w:pPr>
              <w:jc w:val="center"/>
              <w:rPr>
                <w:sz w:val="20"/>
              </w:rPr>
            </w:pPr>
            <w:r w:rsidRPr="00612FA3">
              <w:rPr>
                <w:sz w:val="20"/>
              </w:rPr>
              <w:t>12 Months</w:t>
            </w:r>
          </w:p>
        </w:tc>
        <w:tc>
          <w:tcPr>
            <w:tcW w:w="1843" w:type="dxa"/>
            <w:vAlign w:val="center"/>
          </w:tcPr>
          <w:p w:rsidR="0036633B" w:rsidRPr="00612FA3" w:rsidRDefault="0036633B" w:rsidP="00627F94">
            <w:pPr>
              <w:jc w:val="center"/>
              <w:rPr>
                <w:sz w:val="20"/>
              </w:rPr>
            </w:pPr>
            <w:r w:rsidRPr="00612FA3">
              <w:rPr>
                <w:sz w:val="20"/>
              </w:rPr>
              <w:t>12 Months</w:t>
            </w:r>
          </w:p>
        </w:tc>
      </w:tr>
      <w:tr w:rsidR="0036633B" w:rsidTr="00627F94">
        <w:trPr>
          <w:trHeight w:val="510"/>
        </w:trPr>
        <w:tc>
          <w:tcPr>
            <w:tcW w:w="5353" w:type="dxa"/>
            <w:gridSpan w:val="2"/>
            <w:vAlign w:val="center"/>
          </w:tcPr>
          <w:p w:rsidR="0036633B" w:rsidRPr="00612FA3" w:rsidRDefault="0036633B" w:rsidP="00627F94">
            <w:pPr>
              <w:pStyle w:val="ListParagraph"/>
              <w:numPr>
                <w:ilvl w:val="0"/>
                <w:numId w:val="2"/>
              </w:numPr>
              <w:rPr>
                <w:sz w:val="20"/>
              </w:rPr>
            </w:pPr>
            <w:r w:rsidRPr="00612FA3">
              <w:rPr>
                <w:sz w:val="20"/>
              </w:rPr>
              <w:t xml:space="preserve">Environment where the equipment or </w:t>
            </w:r>
            <w:r w:rsidRPr="00612FA3">
              <w:rPr>
                <w:b/>
                <w:sz w:val="20"/>
              </w:rPr>
              <w:t xml:space="preserve">supply flexible cord </w:t>
            </w:r>
            <w:r w:rsidRPr="00612FA3">
              <w:rPr>
                <w:sz w:val="20"/>
              </w:rPr>
              <w:t xml:space="preserve">is subject to flexing in normal use OR is open to abuse OR is in a </w:t>
            </w:r>
            <w:r w:rsidRPr="00612FA3">
              <w:rPr>
                <w:b/>
                <w:sz w:val="20"/>
              </w:rPr>
              <w:t>hostile environment</w:t>
            </w:r>
          </w:p>
        </w:tc>
        <w:tc>
          <w:tcPr>
            <w:tcW w:w="2552" w:type="dxa"/>
            <w:vAlign w:val="center"/>
          </w:tcPr>
          <w:p w:rsidR="0036633B" w:rsidRPr="00612FA3" w:rsidRDefault="0036633B" w:rsidP="00627F94">
            <w:pPr>
              <w:jc w:val="center"/>
              <w:rPr>
                <w:sz w:val="20"/>
              </w:rPr>
            </w:pPr>
            <w:r w:rsidRPr="00612FA3">
              <w:rPr>
                <w:sz w:val="20"/>
              </w:rPr>
              <w:t>12 Months</w:t>
            </w:r>
          </w:p>
        </w:tc>
        <w:tc>
          <w:tcPr>
            <w:tcW w:w="1559" w:type="dxa"/>
            <w:vAlign w:val="center"/>
          </w:tcPr>
          <w:p w:rsidR="0036633B" w:rsidRPr="00612FA3" w:rsidRDefault="0036633B" w:rsidP="00627F94">
            <w:pPr>
              <w:jc w:val="center"/>
              <w:rPr>
                <w:sz w:val="20"/>
              </w:rPr>
            </w:pPr>
            <w:r w:rsidRPr="00612FA3">
              <w:rPr>
                <w:sz w:val="20"/>
              </w:rPr>
              <w:t>3 Months</w:t>
            </w:r>
          </w:p>
        </w:tc>
        <w:tc>
          <w:tcPr>
            <w:tcW w:w="1559" w:type="dxa"/>
            <w:vAlign w:val="center"/>
          </w:tcPr>
          <w:p w:rsidR="0036633B" w:rsidRPr="00612FA3" w:rsidRDefault="0036633B" w:rsidP="00627F94">
            <w:pPr>
              <w:jc w:val="center"/>
              <w:rPr>
                <w:sz w:val="20"/>
              </w:rPr>
            </w:pPr>
            <w:r w:rsidRPr="00612FA3">
              <w:rPr>
                <w:sz w:val="20"/>
              </w:rPr>
              <w:t>6 Months</w:t>
            </w:r>
          </w:p>
        </w:tc>
        <w:tc>
          <w:tcPr>
            <w:tcW w:w="1701" w:type="dxa"/>
            <w:vAlign w:val="center"/>
          </w:tcPr>
          <w:p w:rsidR="0036633B" w:rsidRPr="00612FA3" w:rsidRDefault="0036633B" w:rsidP="00627F94">
            <w:pPr>
              <w:jc w:val="center"/>
              <w:rPr>
                <w:sz w:val="20"/>
              </w:rPr>
            </w:pPr>
            <w:r w:rsidRPr="00612FA3">
              <w:rPr>
                <w:sz w:val="20"/>
              </w:rPr>
              <w:t>12 Months</w:t>
            </w:r>
          </w:p>
        </w:tc>
        <w:tc>
          <w:tcPr>
            <w:tcW w:w="1843" w:type="dxa"/>
            <w:vAlign w:val="center"/>
          </w:tcPr>
          <w:p w:rsidR="0036633B" w:rsidRPr="00612FA3" w:rsidRDefault="0036633B" w:rsidP="00627F94">
            <w:pPr>
              <w:jc w:val="center"/>
              <w:rPr>
                <w:sz w:val="20"/>
              </w:rPr>
            </w:pPr>
            <w:r w:rsidRPr="00612FA3">
              <w:rPr>
                <w:sz w:val="20"/>
              </w:rPr>
              <w:t>12 Months</w:t>
            </w:r>
          </w:p>
        </w:tc>
      </w:tr>
      <w:tr w:rsidR="0036633B" w:rsidTr="00627F94">
        <w:trPr>
          <w:trHeight w:val="510"/>
        </w:trPr>
        <w:tc>
          <w:tcPr>
            <w:tcW w:w="5353" w:type="dxa"/>
            <w:gridSpan w:val="2"/>
            <w:vAlign w:val="center"/>
          </w:tcPr>
          <w:p w:rsidR="0036633B" w:rsidRPr="00612FA3" w:rsidRDefault="0036633B" w:rsidP="00627F94">
            <w:pPr>
              <w:pStyle w:val="ListParagraph"/>
              <w:numPr>
                <w:ilvl w:val="0"/>
                <w:numId w:val="2"/>
              </w:numPr>
              <w:rPr>
                <w:sz w:val="20"/>
              </w:rPr>
            </w:pPr>
            <w:r w:rsidRPr="00612FA3">
              <w:rPr>
                <w:sz w:val="20"/>
              </w:rPr>
              <w:t xml:space="preserve">Environment where the equipment or </w:t>
            </w:r>
            <w:r w:rsidRPr="00612FA3">
              <w:rPr>
                <w:b/>
                <w:sz w:val="20"/>
              </w:rPr>
              <w:t xml:space="preserve">supply cord </w:t>
            </w:r>
            <w:r w:rsidRPr="00612FA3">
              <w:rPr>
                <w:sz w:val="20"/>
              </w:rPr>
              <w:t xml:space="preserve">is </w:t>
            </w:r>
            <w:r w:rsidRPr="00612FA3">
              <w:rPr>
                <w:b/>
                <w:sz w:val="20"/>
              </w:rPr>
              <w:t xml:space="preserve">NOT </w:t>
            </w:r>
            <w:r w:rsidRPr="00612FA3">
              <w:rPr>
                <w:sz w:val="20"/>
              </w:rPr>
              <w:t xml:space="preserve">subject to flexing in normal use and is </w:t>
            </w:r>
            <w:r w:rsidRPr="00612FA3">
              <w:rPr>
                <w:b/>
                <w:sz w:val="20"/>
              </w:rPr>
              <w:t xml:space="preserve">NOT </w:t>
            </w:r>
            <w:r w:rsidRPr="00612FA3">
              <w:rPr>
                <w:sz w:val="20"/>
              </w:rPr>
              <w:t xml:space="preserve">open to abuse and is </w:t>
            </w:r>
            <w:r w:rsidRPr="00612FA3">
              <w:rPr>
                <w:b/>
                <w:sz w:val="20"/>
              </w:rPr>
              <w:t xml:space="preserve">NOT </w:t>
            </w:r>
            <w:r w:rsidRPr="00612FA3">
              <w:rPr>
                <w:sz w:val="20"/>
              </w:rPr>
              <w:t xml:space="preserve">in a </w:t>
            </w:r>
            <w:r w:rsidRPr="00612FA3">
              <w:rPr>
                <w:b/>
                <w:sz w:val="20"/>
              </w:rPr>
              <w:t>hostile environment</w:t>
            </w:r>
          </w:p>
        </w:tc>
        <w:tc>
          <w:tcPr>
            <w:tcW w:w="2552" w:type="dxa"/>
            <w:vAlign w:val="center"/>
          </w:tcPr>
          <w:p w:rsidR="0036633B" w:rsidRPr="00612FA3" w:rsidRDefault="0036633B" w:rsidP="00627F94">
            <w:pPr>
              <w:jc w:val="center"/>
              <w:rPr>
                <w:sz w:val="20"/>
              </w:rPr>
            </w:pPr>
            <w:r w:rsidRPr="00612FA3">
              <w:rPr>
                <w:sz w:val="20"/>
              </w:rPr>
              <w:t>5 Years</w:t>
            </w:r>
          </w:p>
        </w:tc>
        <w:tc>
          <w:tcPr>
            <w:tcW w:w="1559" w:type="dxa"/>
            <w:vAlign w:val="center"/>
          </w:tcPr>
          <w:p w:rsidR="0036633B" w:rsidRPr="00612FA3" w:rsidRDefault="0036633B" w:rsidP="00627F94">
            <w:pPr>
              <w:jc w:val="center"/>
              <w:rPr>
                <w:sz w:val="20"/>
              </w:rPr>
            </w:pPr>
            <w:r w:rsidRPr="00612FA3">
              <w:rPr>
                <w:sz w:val="20"/>
              </w:rPr>
              <w:t>3 Months</w:t>
            </w:r>
          </w:p>
        </w:tc>
        <w:tc>
          <w:tcPr>
            <w:tcW w:w="1559" w:type="dxa"/>
            <w:vAlign w:val="center"/>
          </w:tcPr>
          <w:p w:rsidR="0036633B" w:rsidRPr="00612FA3" w:rsidRDefault="0036633B" w:rsidP="00627F94">
            <w:pPr>
              <w:jc w:val="center"/>
              <w:rPr>
                <w:sz w:val="20"/>
              </w:rPr>
            </w:pPr>
            <w:r w:rsidRPr="00612FA3">
              <w:rPr>
                <w:sz w:val="20"/>
              </w:rPr>
              <w:t>6 Months</w:t>
            </w:r>
          </w:p>
        </w:tc>
        <w:tc>
          <w:tcPr>
            <w:tcW w:w="1701" w:type="dxa"/>
            <w:vAlign w:val="center"/>
          </w:tcPr>
          <w:p w:rsidR="0036633B" w:rsidRPr="00612FA3" w:rsidRDefault="0036633B" w:rsidP="00627F94">
            <w:pPr>
              <w:jc w:val="center"/>
              <w:rPr>
                <w:sz w:val="20"/>
              </w:rPr>
            </w:pPr>
            <w:r w:rsidRPr="00612FA3">
              <w:rPr>
                <w:sz w:val="20"/>
              </w:rPr>
              <w:t>2 Years</w:t>
            </w:r>
          </w:p>
        </w:tc>
        <w:tc>
          <w:tcPr>
            <w:tcW w:w="1843" w:type="dxa"/>
            <w:vAlign w:val="center"/>
          </w:tcPr>
          <w:p w:rsidR="0036633B" w:rsidRPr="00612FA3" w:rsidRDefault="0036633B" w:rsidP="00627F94">
            <w:pPr>
              <w:jc w:val="center"/>
              <w:rPr>
                <w:sz w:val="20"/>
              </w:rPr>
            </w:pPr>
            <w:r w:rsidRPr="00612FA3">
              <w:rPr>
                <w:sz w:val="20"/>
              </w:rPr>
              <w:t>2 Years</w:t>
            </w:r>
          </w:p>
        </w:tc>
      </w:tr>
      <w:tr w:rsidR="0036633B" w:rsidTr="00627F94">
        <w:trPr>
          <w:trHeight w:val="510"/>
        </w:trPr>
        <w:tc>
          <w:tcPr>
            <w:tcW w:w="5353" w:type="dxa"/>
            <w:gridSpan w:val="2"/>
            <w:vAlign w:val="center"/>
          </w:tcPr>
          <w:p w:rsidR="0036633B" w:rsidRPr="00612FA3" w:rsidRDefault="0036633B" w:rsidP="00627F94">
            <w:pPr>
              <w:pStyle w:val="ListParagraph"/>
              <w:numPr>
                <w:ilvl w:val="0"/>
                <w:numId w:val="2"/>
              </w:numPr>
              <w:rPr>
                <w:b/>
                <w:sz w:val="20"/>
              </w:rPr>
            </w:pPr>
            <w:r w:rsidRPr="00612FA3">
              <w:rPr>
                <w:b/>
                <w:sz w:val="20"/>
              </w:rPr>
              <w:t xml:space="preserve">Residential type areas </w:t>
            </w:r>
            <w:r w:rsidRPr="00612FA3">
              <w:rPr>
                <w:sz w:val="20"/>
              </w:rPr>
              <w:t>of hotels, residential institutions such as motels, boarding houses, halls, hostels, accommodation, houses and the like</w:t>
            </w:r>
          </w:p>
        </w:tc>
        <w:tc>
          <w:tcPr>
            <w:tcW w:w="2552" w:type="dxa"/>
            <w:vAlign w:val="center"/>
          </w:tcPr>
          <w:p w:rsidR="0036633B" w:rsidRPr="00612FA3" w:rsidRDefault="0036633B" w:rsidP="00627F94">
            <w:pPr>
              <w:jc w:val="center"/>
              <w:rPr>
                <w:sz w:val="20"/>
              </w:rPr>
            </w:pPr>
            <w:r w:rsidRPr="00612FA3">
              <w:rPr>
                <w:sz w:val="20"/>
              </w:rPr>
              <w:t>2 Years</w:t>
            </w:r>
          </w:p>
        </w:tc>
        <w:tc>
          <w:tcPr>
            <w:tcW w:w="1559" w:type="dxa"/>
            <w:vAlign w:val="center"/>
          </w:tcPr>
          <w:p w:rsidR="0036633B" w:rsidRPr="00612FA3" w:rsidRDefault="0036633B" w:rsidP="00627F94">
            <w:pPr>
              <w:jc w:val="center"/>
              <w:rPr>
                <w:sz w:val="20"/>
              </w:rPr>
            </w:pPr>
            <w:r w:rsidRPr="00612FA3">
              <w:rPr>
                <w:sz w:val="20"/>
              </w:rPr>
              <w:t>6 Months</w:t>
            </w:r>
          </w:p>
        </w:tc>
        <w:tc>
          <w:tcPr>
            <w:tcW w:w="1559" w:type="dxa"/>
            <w:vAlign w:val="center"/>
          </w:tcPr>
          <w:p w:rsidR="0036633B" w:rsidRPr="00612FA3" w:rsidRDefault="0036633B" w:rsidP="00627F94">
            <w:pPr>
              <w:jc w:val="center"/>
              <w:rPr>
                <w:sz w:val="20"/>
              </w:rPr>
            </w:pPr>
            <w:r w:rsidRPr="00612FA3">
              <w:rPr>
                <w:sz w:val="20"/>
              </w:rPr>
              <w:t>6 Months</w:t>
            </w:r>
          </w:p>
        </w:tc>
        <w:tc>
          <w:tcPr>
            <w:tcW w:w="1701" w:type="dxa"/>
            <w:vAlign w:val="center"/>
          </w:tcPr>
          <w:p w:rsidR="0036633B" w:rsidRPr="00612FA3" w:rsidRDefault="0036633B" w:rsidP="00627F94">
            <w:pPr>
              <w:jc w:val="center"/>
              <w:rPr>
                <w:sz w:val="20"/>
              </w:rPr>
            </w:pPr>
            <w:r w:rsidRPr="00612FA3">
              <w:rPr>
                <w:sz w:val="20"/>
              </w:rPr>
              <w:t>2 Years</w:t>
            </w:r>
          </w:p>
        </w:tc>
        <w:tc>
          <w:tcPr>
            <w:tcW w:w="1843" w:type="dxa"/>
            <w:vAlign w:val="center"/>
          </w:tcPr>
          <w:p w:rsidR="0036633B" w:rsidRPr="00612FA3" w:rsidRDefault="0036633B" w:rsidP="00627F94">
            <w:pPr>
              <w:jc w:val="center"/>
              <w:rPr>
                <w:sz w:val="20"/>
              </w:rPr>
            </w:pPr>
            <w:r w:rsidRPr="00612FA3">
              <w:rPr>
                <w:sz w:val="20"/>
              </w:rPr>
              <w:t>2 Years</w:t>
            </w:r>
          </w:p>
        </w:tc>
      </w:tr>
      <w:tr w:rsidR="0036633B" w:rsidTr="00627F94">
        <w:trPr>
          <w:trHeight w:val="510"/>
        </w:trPr>
        <w:tc>
          <w:tcPr>
            <w:tcW w:w="5353" w:type="dxa"/>
            <w:gridSpan w:val="2"/>
            <w:vAlign w:val="center"/>
          </w:tcPr>
          <w:p w:rsidR="0036633B" w:rsidRPr="00612FA3" w:rsidRDefault="0036633B" w:rsidP="00627F94">
            <w:pPr>
              <w:pStyle w:val="ListParagraph"/>
              <w:numPr>
                <w:ilvl w:val="0"/>
                <w:numId w:val="2"/>
              </w:numPr>
              <w:rPr>
                <w:sz w:val="20"/>
              </w:rPr>
            </w:pPr>
            <w:r w:rsidRPr="00612FA3">
              <w:rPr>
                <w:sz w:val="20"/>
              </w:rPr>
              <w:t xml:space="preserve">Equipment used for </w:t>
            </w:r>
            <w:r w:rsidRPr="00612FA3">
              <w:rPr>
                <w:b/>
                <w:sz w:val="20"/>
              </w:rPr>
              <w:t>commercial cleaning</w:t>
            </w:r>
          </w:p>
        </w:tc>
        <w:tc>
          <w:tcPr>
            <w:tcW w:w="2552" w:type="dxa"/>
            <w:vAlign w:val="center"/>
          </w:tcPr>
          <w:p w:rsidR="0036633B" w:rsidRPr="00612FA3" w:rsidRDefault="0036633B" w:rsidP="00627F94">
            <w:pPr>
              <w:jc w:val="center"/>
              <w:rPr>
                <w:sz w:val="20"/>
              </w:rPr>
            </w:pPr>
            <w:r w:rsidRPr="00612FA3">
              <w:rPr>
                <w:sz w:val="20"/>
              </w:rPr>
              <w:t>6 Months</w:t>
            </w:r>
          </w:p>
        </w:tc>
        <w:tc>
          <w:tcPr>
            <w:tcW w:w="1559" w:type="dxa"/>
            <w:vAlign w:val="center"/>
          </w:tcPr>
          <w:p w:rsidR="0036633B" w:rsidRPr="00612FA3" w:rsidRDefault="0036633B" w:rsidP="00627F94">
            <w:pPr>
              <w:jc w:val="center"/>
              <w:rPr>
                <w:sz w:val="20"/>
              </w:rPr>
            </w:pPr>
            <w:r w:rsidRPr="00612FA3">
              <w:rPr>
                <w:sz w:val="20"/>
              </w:rPr>
              <w:t>Daily, or before each use</w:t>
            </w:r>
          </w:p>
        </w:tc>
        <w:tc>
          <w:tcPr>
            <w:tcW w:w="1559" w:type="dxa"/>
            <w:vAlign w:val="center"/>
          </w:tcPr>
          <w:p w:rsidR="0036633B" w:rsidRPr="00612FA3" w:rsidRDefault="0036633B" w:rsidP="00627F94">
            <w:pPr>
              <w:jc w:val="center"/>
              <w:rPr>
                <w:sz w:val="20"/>
              </w:rPr>
            </w:pPr>
            <w:r w:rsidRPr="00612FA3">
              <w:rPr>
                <w:sz w:val="20"/>
              </w:rPr>
              <w:t>NA</w:t>
            </w:r>
          </w:p>
        </w:tc>
        <w:tc>
          <w:tcPr>
            <w:tcW w:w="1701" w:type="dxa"/>
            <w:vAlign w:val="center"/>
          </w:tcPr>
          <w:p w:rsidR="0036633B" w:rsidRPr="00612FA3" w:rsidRDefault="0036633B" w:rsidP="00627F94">
            <w:pPr>
              <w:jc w:val="center"/>
              <w:rPr>
                <w:sz w:val="20"/>
              </w:rPr>
            </w:pPr>
            <w:r w:rsidRPr="00612FA3">
              <w:rPr>
                <w:sz w:val="20"/>
              </w:rPr>
              <w:t>6 Months</w:t>
            </w:r>
          </w:p>
        </w:tc>
        <w:tc>
          <w:tcPr>
            <w:tcW w:w="1843" w:type="dxa"/>
            <w:vAlign w:val="center"/>
          </w:tcPr>
          <w:p w:rsidR="0036633B" w:rsidRPr="00612FA3" w:rsidRDefault="0036633B" w:rsidP="00627F94">
            <w:pPr>
              <w:jc w:val="center"/>
              <w:rPr>
                <w:sz w:val="20"/>
              </w:rPr>
            </w:pPr>
            <w:r w:rsidRPr="00612FA3">
              <w:rPr>
                <w:sz w:val="20"/>
              </w:rPr>
              <w:t>NA</w:t>
            </w:r>
          </w:p>
        </w:tc>
      </w:tr>
      <w:tr w:rsidR="0036633B" w:rsidTr="00627F94">
        <w:trPr>
          <w:trHeight w:val="510"/>
        </w:trPr>
        <w:tc>
          <w:tcPr>
            <w:tcW w:w="2676" w:type="dxa"/>
            <w:vMerge w:val="restart"/>
            <w:vAlign w:val="center"/>
          </w:tcPr>
          <w:p w:rsidR="0036633B" w:rsidRPr="00612FA3" w:rsidRDefault="0036633B" w:rsidP="00627F94">
            <w:pPr>
              <w:pStyle w:val="ListParagraph"/>
              <w:numPr>
                <w:ilvl w:val="0"/>
                <w:numId w:val="2"/>
              </w:numPr>
              <w:rPr>
                <w:sz w:val="20"/>
              </w:rPr>
            </w:pPr>
            <w:r w:rsidRPr="00612FA3">
              <w:rPr>
                <w:b/>
                <w:sz w:val="20"/>
              </w:rPr>
              <w:t xml:space="preserve">Hire </w:t>
            </w:r>
            <w:r w:rsidRPr="00612FA3">
              <w:rPr>
                <w:sz w:val="20"/>
              </w:rPr>
              <w:t>Equipment</w:t>
            </w:r>
          </w:p>
        </w:tc>
        <w:tc>
          <w:tcPr>
            <w:tcW w:w="2677" w:type="dxa"/>
            <w:vAlign w:val="center"/>
          </w:tcPr>
          <w:p w:rsidR="0036633B" w:rsidRPr="00612FA3" w:rsidRDefault="0036633B" w:rsidP="00627F94">
            <w:pPr>
              <w:pStyle w:val="ListParagraph"/>
              <w:ind w:left="360"/>
              <w:jc w:val="center"/>
              <w:rPr>
                <w:sz w:val="20"/>
              </w:rPr>
            </w:pPr>
            <w:r w:rsidRPr="00612FA3">
              <w:rPr>
                <w:sz w:val="20"/>
              </w:rPr>
              <w:t>Inspection</w:t>
            </w:r>
          </w:p>
        </w:tc>
        <w:tc>
          <w:tcPr>
            <w:tcW w:w="2552" w:type="dxa"/>
            <w:vAlign w:val="center"/>
          </w:tcPr>
          <w:p w:rsidR="0036633B" w:rsidRPr="00612FA3" w:rsidRDefault="0036633B" w:rsidP="00627F94">
            <w:pPr>
              <w:jc w:val="center"/>
              <w:rPr>
                <w:sz w:val="20"/>
              </w:rPr>
            </w:pPr>
            <w:r w:rsidRPr="00612FA3">
              <w:rPr>
                <w:sz w:val="20"/>
              </w:rPr>
              <w:t>Prior to hire</w:t>
            </w:r>
          </w:p>
        </w:tc>
        <w:tc>
          <w:tcPr>
            <w:tcW w:w="3118" w:type="dxa"/>
            <w:gridSpan w:val="2"/>
            <w:vAlign w:val="center"/>
          </w:tcPr>
          <w:p w:rsidR="0036633B" w:rsidRPr="00612FA3" w:rsidRDefault="0036633B" w:rsidP="00627F94">
            <w:pPr>
              <w:jc w:val="center"/>
              <w:rPr>
                <w:sz w:val="20"/>
              </w:rPr>
            </w:pPr>
            <w:r w:rsidRPr="00612FA3">
              <w:rPr>
                <w:sz w:val="20"/>
              </w:rPr>
              <w:t>Including push button test by hirer prior to hire</w:t>
            </w:r>
          </w:p>
        </w:tc>
        <w:tc>
          <w:tcPr>
            <w:tcW w:w="1701" w:type="dxa"/>
            <w:vAlign w:val="center"/>
          </w:tcPr>
          <w:p w:rsidR="0036633B" w:rsidRPr="00612FA3" w:rsidRDefault="0036633B" w:rsidP="00627F94">
            <w:pPr>
              <w:jc w:val="center"/>
              <w:rPr>
                <w:sz w:val="20"/>
              </w:rPr>
            </w:pPr>
            <w:r w:rsidRPr="00612FA3">
              <w:rPr>
                <w:sz w:val="20"/>
              </w:rPr>
              <w:t>NA</w:t>
            </w:r>
          </w:p>
        </w:tc>
        <w:tc>
          <w:tcPr>
            <w:tcW w:w="1843" w:type="dxa"/>
            <w:vAlign w:val="center"/>
          </w:tcPr>
          <w:p w:rsidR="0036633B" w:rsidRPr="00612FA3" w:rsidRDefault="0036633B" w:rsidP="00627F94">
            <w:pPr>
              <w:jc w:val="center"/>
              <w:rPr>
                <w:sz w:val="20"/>
              </w:rPr>
            </w:pPr>
            <w:r w:rsidRPr="00612FA3">
              <w:rPr>
                <w:sz w:val="20"/>
              </w:rPr>
              <w:t>NA</w:t>
            </w:r>
          </w:p>
        </w:tc>
      </w:tr>
      <w:tr w:rsidR="0036633B" w:rsidTr="00627F94">
        <w:trPr>
          <w:trHeight w:val="510"/>
        </w:trPr>
        <w:tc>
          <w:tcPr>
            <w:tcW w:w="2676" w:type="dxa"/>
            <w:vMerge/>
            <w:vAlign w:val="center"/>
          </w:tcPr>
          <w:p w:rsidR="0036633B" w:rsidRPr="00612FA3" w:rsidRDefault="0036633B" w:rsidP="00627F94">
            <w:pPr>
              <w:rPr>
                <w:sz w:val="20"/>
              </w:rPr>
            </w:pPr>
          </w:p>
        </w:tc>
        <w:tc>
          <w:tcPr>
            <w:tcW w:w="2677" w:type="dxa"/>
            <w:vAlign w:val="center"/>
          </w:tcPr>
          <w:p w:rsidR="0036633B" w:rsidRPr="00612FA3" w:rsidRDefault="0036633B" w:rsidP="00627F94">
            <w:pPr>
              <w:jc w:val="center"/>
              <w:rPr>
                <w:sz w:val="20"/>
              </w:rPr>
            </w:pPr>
            <w:r w:rsidRPr="00612FA3">
              <w:rPr>
                <w:sz w:val="20"/>
              </w:rPr>
              <w:t>Test and Tag</w:t>
            </w:r>
          </w:p>
        </w:tc>
        <w:tc>
          <w:tcPr>
            <w:tcW w:w="2552" w:type="dxa"/>
            <w:vAlign w:val="center"/>
          </w:tcPr>
          <w:p w:rsidR="0036633B" w:rsidRPr="00612FA3" w:rsidRDefault="0036633B" w:rsidP="00627F94">
            <w:pPr>
              <w:jc w:val="center"/>
              <w:rPr>
                <w:sz w:val="20"/>
              </w:rPr>
            </w:pPr>
            <w:r w:rsidRPr="00612FA3">
              <w:rPr>
                <w:sz w:val="20"/>
              </w:rPr>
              <w:t>3 Months</w:t>
            </w:r>
          </w:p>
        </w:tc>
        <w:tc>
          <w:tcPr>
            <w:tcW w:w="3118" w:type="dxa"/>
            <w:gridSpan w:val="2"/>
            <w:vAlign w:val="center"/>
          </w:tcPr>
          <w:p w:rsidR="0036633B" w:rsidRPr="00612FA3" w:rsidRDefault="0036633B" w:rsidP="00627F94">
            <w:pPr>
              <w:jc w:val="center"/>
              <w:rPr>
                <w:sz w:val="20"/>
              </w:rPr>
            </w:pPr>
            <w:r w:rsidRPr="00612FA3">
              <w:rPr>
                <w:sz w:val="20"/>
              </w:rPr>
              <w:t>NA</w:t>
            </w:r>
          </w:p>
        </w:tc>
        <w:tc>
          <w:tcPr>
            <w:tcW w:w="1701" w:type="dxa"/>
            <w:vAlign w:val="center"/>
          </w:tcPr>
          <w:p w:rsidR="0036633B" w:rsidRPr="00612FA3" w:rsidRDefault="0036633B" w:rsidP="00627F94">
            <w:pPr>
              <w:jc w:val="center"/>
              <w:rPr>
                <w:sz w:val="20"/>
              </w:rPr>
            </w:pPr>
            <w:r w:rsidRPr="00612FA3">
              <w:rPr>
                <w:sz w:val="20"/>
              </w:rPr>
              <w:t>3 Months</w:t>
            </w:r>
          </w:p>
        </w:tc>
        <w:tc>
          <w:tcPr>
            <w:tcW w:w="1843" w:type="dxa"/>
            <w:vAlign w:val="center"/>
          </w:tcPr>
          <w:p w:rsidR="0036633B" w:rsidRPr="00612FA3" w:rsidRDefault="0036633B" w:rsidP="00627F94">
            <w:pPr>
              <w:jc w:val="center"/>
              <w:rPr>
                <w:sz w:val="20"/>
              </w:rPr>
            </w:pPr>
            <w:r w:rsidRPr="00612FA3">
              <w:rPr>
                <w:sz w:val="20"/>
              </w:rPr>
              <w:t>12 Months</w:t>
            </w:r>
          </w:p>
        </w:tc>
      </w:tr>
      <w:tr w:rsidR="0036633B" w:rsidTr="00627F94">
        <w:trPr>
          <w:trHeight w:val="510"/>
        </w:trPr>
        <w:tc>
          <w:tcPr>
            <w:tcW w:w="5353" w:type="dxa"/>
            <w:gridSpan w:val="2"/>
            <w:vAlign w:val="center"/>
          </w:tcPr>
          <w:p w:rsidR="0036633B" w:rsidRPr="00612FA3" w:rsidRDefault="0036633B" w:rsidP="00627F94">
            <w:pPr>
              <w:pStyle w:val="ListParagraph"/>
              <w:numPr>
                <w:ilvl w:val="0"/>
                <w:numId w:val="2"/>
              </w:numPr>
              <w:rPr>
                <w:sz w:val="20"/>
              </w:rPr>
            </w:pPr>
            <w:r w:rsidRPr="00612FA3">
              <w:rPr>
                <w:sz w:val="20"/>
              </w:rPr>
              <w:t>Repaired, serviced and second hand equipment</w:t>
            </w:r>
          </w:p>
        </w:tc>
        <w:tc>
          <w:tcPr>
            <w:tcW w:w="9214" w:type="dxa"/>
            <w:gridSpan w:val="5"/>
            <w:vAlign w:val="center"/>
          </w:tcPr>
          <w:p w:rsidR="0036633B" w:rsidRPr="00612FA3" w:rsidRDefault="0036633B" w:rsidP="00627F94">
            <w:pPr>
              <w:jc w:val="center"/>
              <w:rPr>
                <w:sz w:val="20"/>
              </w:rPr>
            </w:pPr>
            <w:r w:rsidRPr="00612FA3">
              <w:rPr>
                <w:sz w:val="20"/>
              </w:rPr>
              <w:t>After repair or service which could affect electrical safety, or on a reintroduction to service, refer to AS/NZS 5762</w:t>
            </w:r>
          </w:p>
        </w:tc>
      </w:tr>
    </w:tbl>
    <w:p w:rsidR="0036633B" w:rsidRDefault="0036633B" w:rsidP="00B32C63">
      <w:pPr>
        <w:pStyle w:val="Header"/>
        <w:jc w:val="center"/>
        <w:rPr>
          <w:b/>
          <w:bCs/>
          <w:sz w:val="24"/>
          <w:szCs w:val="24"/>
        </w:rPr>
      </w:pPr>
    </w:p>
    <w:p w:rsidR="00B32C63" w:rsidRPr="007E3AA4" w:rsidRDefault="00B32C63" w:rsidP="00B32C63">
      <w:pPr>
        <w:pStyle w:val="Header"/>
        <w:jc w:val="center"/>
        <w:rPr>
          <w:b/>
          <w:bCs/>
        </w:rPr>
      </w:pPr>
      <w:r w:rsidRPr="007E3AA4">
        <w:rPr>
          <w:b/>
          <w:bCs/>
        </w:rPr>
        <w:t>Table 4 - Indicative Testing and Inspection Intervals for Electrical Equipment</w:t>
      </w:r>
    </w:p>
    <w:p w:rsidR="00B32C63" w:rsidRPr="007E3AA4" w:rsidRDefault="00B32C63" w:rsidP="00B32C63">
      <w:pPr>
        <w:pStyle w:val="Header"/>
        <w:jc w:val="center"/>
      </w:pPr>
      <w:r w:rsidRPr="007E3AA4">
        <w:t xml:space="preserve">(CAUTION – This information </w:t>
      </w:r>
      <w:r w:rsidRPr="007E3AA4">
        <w:rPr>
          <w:b/>
          <w:bCs/>
        </w:rPr>
        <w:t>must</w:t>
      </w:r>
      <w:r w:rsidRPr="007E3AA4">
        <w:t xml:space="preserve"> be read in conjunction with AS/NZS 3760:2</w:t>
      </w:r>
      <w:r w:rsidR="00627F94" w:rsidRPr="007E3AA4">
        <w:t xml:space="preserve">010 </w:t>
      </w:r>
      <w:proofErr w:type="gramStart"/>
      <w:r w:rsidR="00627F94" w:rsidRPr="007E3AA4">
        <w:t>as a whole, and</w:t>
      </w:r>
      <w:proofErr w:type="gramEnd"/>
      <w:r w:rsidR="00627F94" w:rsidRPr="007E3AA4">
        <w:t xml:space="preserve"> particularl</w:t>
      </w:r>
      <w:r w:rsidRPr="007E3AA4">
        <w:t>y Clause 2.1)</w:t>
      </w:r>
    </w:p>
    <w:p w:rsidR="0036633B" w:rsidRDefault="00B32C63" w:rsidP="007E3AA4">
      <w:pPr>
        <w:widowControl w:val="0"/>
        <w:rPr>
          <w:rFonts w:asciiTheme="minorHAnsi" w:hAnsiTheme="minorHAnsi"/>
          <w:b/>
          <w:szCs w:val="24"/>
        </w:rPr>
      </w:pPr>
      <w:r>
        <w:t> </w:t>
      </w:r>
    </w:p>
    <w:sectPr w:rsidR="0036633B" w:rsidSect="00627F94">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851" w:bottom="1134" w:left="851" w:header="426"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DDB" w:rsidRDefault="00E14DDB" w:rsidP="00E14DDB">
      <w:r>
        <w:separator/>
      </w:r>
    </w:p>
  </w:endnote>
  <w:endnote w:type="continuationSeparator" w:id="0">
    <w:p w:rsidR="00E14DDB" w:rsidRDefault="00E14DDB" w:rsidP="00E1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TB6Bo00">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ED7" w:rsidRDefault="00043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30" w:type="dxa"/>
      <w:jc w:val="center"/>
      <w:tblBorders>
        <w:top w:val="single" w:sz="24" w:space="0" w:color="002060"/>
      </w:tblBorders>
      <w:tblLook w:val="04A0" w:firstRow="1" w:lastRow="0" w:firstColumn="1" w:lastColumn="0" w:noHBand="0" w:noVBand="1"/>
    </w:tblPr>
    <w:tblGrid>
      <w:gridCol w:w="1594"/>
      <w:gridCol w:w="2655"/>
      <w:gridCol w:w="6521"/>
      <w:gridCol w:w="2835"/>
      <w:gridCol w:w="1525"/>
    </w:tblGrid>
    <w:tr w:rsidR="00627F94" w:rsidRPr="00627F94" w:rsidTr="00A953A8">
      <w:trPr>
        <w:jc w:val="center"/>
      </w:trPr>
      <w:tc>
        <w:tcPr>
          <w:tcW w:w="1594" w:type="dxa"/>
          <w:tcMar>
            <w:top w:w="0" w:type="dxa"/>
            <w:left w:w="28" w:type="dxa"/>
            <w:bottom w:w="0" w:type="dxa"/>
            <w:right w:w="28" w:type="dxa"/>
          </w:tcMar>
          <w:vAlign w:val="center"/>
          <w:hideMark/>
        </w:tcPr>
        <w:p w:rsidR="00043ED7" w:rsidRPr="00043ED7" w:rsidRDefault="00043ED7" w:rsidP="00043ED7">
          <w:pPr>
            <w:jc w:val="center"/>
            <w:rPr>
              <w:rFonts w:asciiTheme="minorHAnsi" w:hAnsiTheme="minorHAnsi" w:cstheme="minorHAnsi"/>
              <w:sz w:val="12"/>
              <w:szCs w:val="12"/>
            </w:rPr>
          </w:pPr>
          <w:r w:rsidRPr="00043ED7">
            <w:rPr>
              <w:rFonts w:asciiTheme="minorHAnsi" w:hAnsiTheme="minorHAnsi" w:cstheme="minorHAnsi"/>
              <w:sz w:val="12"/>
              <w:szCs w:val="12"/>
            </w:rPr>
            <w:t xml:space="preserve">Version: 01 </w:t>
          </w:r>
        </w:p>
        <w:p w:rsidR="00627F94" w:rsidRPr="00627F94" w:rsidRDefault="00043ED7" w:rsidP="00043ED7">
          <w:pPr>
            <w:jc w:val="center"/>
            <w:rPr>
              <w:rFonts w:asciiTheme="minorHAnsi" w:hAnsiTheme="minorHAnsi" w:cstheme="minorHAnsi"/>
              <w:sz w:val="12"/>
              <w:szCs w:val="12"/>
            </w:rPr>
          </w:pPr>
          <w:r w:rsidRPr="00043ED7">
            <w:rPr>
              <w:rFonts w:asciiTheme="minorHAnsi" w:hAnsiTheme="minorHAnsi" w:cstheme="minorHAnsi"/>
              <w:sz w:val="12"/>
              <w:szCs w:val="12"/>
            </w:rPr>
            <w:t xml:space="preserve">Issue Date: Sept </w:t>
          </w:r>
          <w:r w:rsidRPr="00043ED7">
            <w:rPr>
              <w:rFonts w:asciiTheme="minorHAnsi" w:hAnsiTheme="minorHAnsi" w:cstheme="minorHAnsi"/>
              <w:sz w:val="12"/>
              <w:szCs w:val="12"/>
            </w:rPr>
            <w:t>2017</w:t>
          </w:r>
          <w:bookmarkStart w:id="1" w:name="_GoBack"/>
          <w:bookmarkEnd w:id="1"/>
        </w:p>
      </w:tc>
      <w:tc>
        <w:tcPr>
          <w:tcW w:w="2655" w:type="dxa"/>
          <w:vAlign w:val="center"/>
          <w:hideMark/>
        </w:tcPr>
        <w:p w:rsidR="00627F94" w:rsidRPr="00627F94" w:rsidRDefault="00627F94" w:rsidP="00627F94">
          <w:pPr>
            <w:jc w:val="center"/>
            <w:rPr>
              <w:rFonts w:asciiTheme="minorHAnsi" w:hAnsiTheme="minorHAnsi" w:cstheme="minorHAnsi"/>
              <w:sz w:val="12"/>
              <w:szCs w:val="12"/>
            </w:rPr>
          </w:pPr>
          <w:r w:rsidRPr="00627F94">
            <w:rPr>
              <w:rFonts w:asciiTheme="minorHAnsi" w:hAnsiTheme="minorHAnsi" w:cstheme="minorHAnsi"/>
              <w:sz w:val="12"/>
              <w:szCs w:val="12"/>
            </w:rPr>
            <w:t xml:space="preserve">Print Date: </w:t>
          </w:r>
          <w:r w:rsidRPr="00627F94">
            <w:rPr>
              <w:rFonts w:asciiTheme="minorHAnsi" w:hAnsiTheme="minorHAnsi" w:cstheme="minorHAnsi"/>
              <w:sz w:val="12"/>
              <w:szCs w:val="12"/>
            </w:rPr>
            <w:fldChar w:fldCharType="begin"/>
          </w:r>
          <w:r w:rsidRPr="00627F94">
            <w:rPr>
              <w:rFonts w:asciiTheme="minorHAnsi" w:hAnsiTheme="minorHAnsi" w:cstheme="minorHAnsi"/>
              <w:sz w:val="12"/>
              <w:szCs w:val="12"/>
            </w:rPr>
            <w:instrText xml:space="preserve"> DATE \@ "d/MM/yyyy" </w:instrText>
          </w:r>
          <w:r w:rsidRPr="00627F94">
            <w:rPr>
              <w:rFonts w:asciiTheme="minorHAnsi" w:hAnsiTheme="minorHAnsi" w:cstheme="minorHAnsi"/>
              <w:sz w:val="12"/>
              <w:szCs w:val="12"/>
            </w:rPr>
            <w:fldChar w:fldCharType="separate"/>
          </w:r>
          <w:r w:rsidR="00043ED7">
            <w:rPr>
              <w:rFonts w:asciiTheme="minorHAnsi" w:hAnsiTheme="minorHAnsi" w:cstheme="minorHAnsi"/>
              <w:noProof/>
              <w:sz w:val="12"/>
              <w:szCs w:val="12"/>
            </w:rPr>
            <w:t>25/09/2017</w:t>
          </w:r>
          <w:r w:rsidRPr="00627F94">
            <w:rPr>
              <w:rFonts w:asciiTheme="minorHAnsi" w:hAnsiTheme="minorHAnsi" w:cstheme="minorHAnsi"/>
              <w:sz w:val="12"/>
              <w:szCs w:val="12"/>
            </w:rPr>
            <w:fldChar w:fldCharType="end"/>
          </w:r>
        </w:p>
      </w:tc>
      <w:tc>
        <w:tcPr>
          <w:tcW w:w="6521" w:type="dxa"/>
          <w:vAlign w:val="center"/>
          <w:hideMark/>
        </w:tcPr>
        <w:p w:rsidR="00627F94" w:rsidRPr="00627F94" w:rsidRDefault="00627F94" w:rsidP="00627F94">
          <w:pPr>
            <w:jc w:val="center"/>
            <w:rPr>
              <w:rFonts w:asciiTheme="minorHAnsi" w:hAnsiTheme="minorHAnsi" w:cstheme="minorHAnsi"/>
              <w:color w:val="000000"/>
              <w:sz w:val="12"/>
              <w:szCs w:val="12"/>
            </w:rPr>
          </w:pPr>
          <w:r w:rsidRPr="00627F94">
            <w:rPr>
              <w:rFonts w:asciiTheme="minorHAnsi" w:hAnsiTheme="minorHAnsi" w:cstheme="minorHAnsi"/>
              <w:sz w:val="12"/>
              <w:szCs w:val="12"/>
            </w:rPr>
            <w:t>The controlled copy of this document is held on the Eastman Lynch computer system</w:t>
          </w:r>
          <w:r w:rsidRPr="00627F94">
            <w:rPr>
              <w:rFonts w:asciiTheme="minorHAnsi" w:hAnsiTheme="minorHAnsi" w:cstheme="minorHAnsi"/>
              <w:color w:val="000000"/>
              <w:sz w:val="12"/>
              <w:szCs w:val="12"/>
            </w:rPr>
            <w:t xml:space="preserve"> </w:t>
          </w:r>
        </w:p>
        <w:p w:rsidR="00627F94" w:rsidRPr="00627F94" w:rsidRDefault="00627F94" w:rsidP="00627F94">
          <w:pPr>
            <w:jc w:val="center"/>
            <w:rPr>
              <w:rFonts w:asciiTheme="minorHAnsi" w:hAnsiTheme="minorHAnsi" w:cstheme="minorHAnsi"/>
              <w:sz w:val="12"/>
              <w:szCs w:val="12"/>
            </w:rPr>
          </w:pPr>
          <w:r w:rsidRPr="00627F94">
            <w:rPr>
              <w:rFonts w:asciiTheme="minorHAnsi" w:hAnsiTheme="minorHAnsi" w:cstheme="minorHAnsi"/>
              <w:color w:val="000000"/>
              <w:sz w:val="12"/>
              <w:szCs w:val="12"/>
            </w:rPr>
            <w:t>This document is only controlled for the Print Date shown on the bottom of the page</w:t>
          </w:r>
        </w:p>
      </w:tc>
      <w:tc>
        <w:tcPr>
          <w:tcW w:w="2835" w:type="dxa"/>
          <w:vAlign w:val="center"/>
        </w:tcPr>
        <w:p w:rsidR="00627F94" w:rsidRPr="00627F94" w:rsidRDefault="00627F94" w:rsidP="00627F94">
          <w:pPr>
            <w:jc w:val="center"/>
            <w:rPr>
              <w:rFonts w:asciiTheme="minorHAnsi" w:hAnsiTheme="minorHAnsi" w:cstheme="minorHAnsi"/>
              <w:sz w:val="12"/>
              <w:szCs w:val="12"/>
            </w:rPr>
          </w:pPr>
          <w:r w:rsidRPr="00627F94">
            <w:rPr>
              <w:rFonts w:asciiTheme="minorHAnsi" w:hAnsiTheme="minorHAnsi" w:cstheme="minorHAnsi"/>
              <w:sz w:val="12"/>
              <w:szCs w:val="12"/>
            </w:rPr>
            <w:t xml:space="preserve">Authorised: </w:t>
          </w:r>
        </w:p>
        <w:p w:rsidR="00627F94" w:rsidRPr="00627F94" w:rsidRDefault="00627F94" w:rsidP="00627F94">
          <w:pPr>
            <w:jc w:val="center"/>
            <w:rPr>
              <w:rFonts w:asciiTheme="minorHAnsi" w:hAnsiTheme="minorHAnsi" w:cstheme="minorHAnsi"/>
              <w:sz w:val="12"/>
              <w:szCs w:val="12"/>
            </w:rPr>
          </w:pPr>
          <w:r w:rsidRPr="00627F94">
            <w:rPr>
              <w:rFonts w:asciiTheme="minorHAnsi" w:hAnsiTheme="minorHAnsi" w:cstheme="minorHAnsi"/>
              <w:sz w:val="12"/>
              <w:szCs w:val="12"/>
            </w:rPr>
            <w:t>Operations Manager</w:t>
          </w:r>
        </w:p>
      </w:tc>
      <w:tc>
        <w:tcPr>
          <w:tcW w:w="1525" w:type="dxa"/>
          <w:vAlign w:val="center"/>
          <w:hideMark/>
        </w:tcPr>
        <w:p w:rsidR="00627F94" w:rsidRPr="00627F94" w:rsidRDefault="00627F94" w:rsidP="00627F94">
          <w:pPr>
            <w:jc w:val="center"/>
            <w:rPr>
              <w:rFonts w:asciiTheme="minorHAnsi" w:hAnsiTheme="minorHAnsi" w:cstheme="minorHAnsi"/>
              <w:sz w:val="12"/>
              <w:szCs w:val="12"/>
            </w:rPr>
          </w:pPr>
          <w:r w:rsidRPr="00627F94">
            <w:rPr>
              <w:rFonts w:asciiTheme="minorHAnsi" w:hAnsiTheme="minorHAnsi" w:cstheme="minorHAnsi"/>
              <w:sz w:val="12"/>
              <w:szCs w:val="12"/>
            </w:rPr>
            <w:t xml:space="preserve">Page </w:t>
          </w:r>
          <w:r w:rsidRPr="00627F94">
            <w:rPr>
              <w:rFonts w:asciiTheme="minorHAnsi" w:hAnsiTheme="minorHAnsi" w:cstheme="minorHAnsi"/>
              <w:sz w:val="12"/>
              <w:szCs w:val="12"/>
            </w:rPr>
            <w:fldChar w:fldCharType="begin"/>
          </w:r>
          <w:r w:rsidRPr="00627F94">
            <w:rPr>
              <w:rFonts w:asciiTheme="minorHAnsi" w:hAnsiTheme="minorHAnsi" w:cstheme="minorHAnsi"/>
              <w:sz w:val="12"/>
              <w:szCs w:val="12"/>
            </w:rPr>
            <w:instrText xml:space="preserve"> PAGE </w:instrText>
          </w:r>
          <w:r w:rsidRPr="00627F94">
            <w:rPr>
              <w:rFonts w:asciiTheme="minorHAnsi" w:hAnsiTheme="minorHAnsi" w:cstheme="minorHAnsi"/>
              <w:sz w:val="12"/>
              <w:szCs w:val="12"/>
            </w:rPr>
            <w:fldChar w:fldCharType="separate"/>
          </w:r>
          <w:r w:rsidR="00043ED7">
            <w:rPr>
              <w:rFonts w:asciiTheme="minorHAnsi" w:hAnsiTheme="minorHAnsi" w:cstheme="minorHAnsi"/>
              <w:noProof/>
              <w:sz w:val="12"/>
              <w:szCs w:val="12"/>
            </w:rPr>
            <w:t>1</w:t>
          </w:r>
          <w:r w:rsidRPr="00627F94">
            <w:rPr>
              <w:rFonts w:asciiTheme="minorHAnsi" w:hAnsiTheme="minorHAnsi" w:cstheme="minorHAnsi"/>
              <w:sz w:val="12"/>
              <w:szCs w:val="12"/>
            </w:rPr>
            <w:fldChar w:fldCharType="end"/>
          </w:r>
          <w:r w:rsidRPr="00627F94">
            <w:rPr>
              <w:rFonts w:asciiTheme="minorHAnsi" w:hAnsiTheme="minorHAnsi" w:cstheme="minorHAnsi"/>
              <w:sz w:val="12"/>
              <w:szCs w:val="12"/>
            </w:rPr>
            <w:t xml:space="preserve"> of </w:t>
          </w:r>
          <w:r w:rsidRPr="00627F94">
            <w:rPr>
              <w:rFonts w:asciiTheme="minorHAnsi" w:hAnsiTheme="minorHAnsi" w:cstheme="minorHAnsi"/>
              <w:sz w:val="12"/>
              <w:szCs w:val="12"/>
            </w:rPr>
            <w:fldChar w:fldCharType="begin"/>
          </w:r>
          <w:r w:rsidRPr="00627F94">
            <w:rPr>
              <w:rFonts w:asciiTheme="minorHAnsi" w:hAnsiTheme="minorHAnsi" w:cstheme="minorHAnsi"/>
              <w:sz w:val="12"/>
              <w:szCs w:val="12"/>
            </w:rPr>
            <w:instrText xml:space="preserve"> NUMPAGES  </w:instrText>
          </w:r>
          <w:r w:rsidRPr="00627F94">
            <w:rPr>
              <w:rFonts w:asciiTheme="minorHAnsi" w:hAnsiTheme="minorHAnsi" w:cstheme="minorHAnsi"/>
              <w:sz w:val="12"/>
              <w:szCs w:val="12"/>
            </w:rPr>
            <w:fldChar w:fldCharType="separate"/>
          </w:r>
          <w:r w:rsidR="00043ED7">
            <w:rPr>
              <w:rFonts w:asciiTheme="minorHAnsi" w:hAnsiTheme="minorHAnsi" w:cstheme="minorHAnsi"/>
              <w:noProof/>
              <w:sz w:val="12"/>
              <w:szCs w:val="12"/>
            </w:rPr>
            <w:t>3</w:t>
          </w:r>
          <w:r w:rsidRPr="00627F94">
            <w:rPr>
              <w:rFonts w:asciiTheme="minorHAnsi" w:hAnsiTheme="minorHAnsi" w:cstheme="minorHAnsi"/>
              <w:sz w:val="12"/>
              <w:szCs w:val="12"/>
            </w:rPr>
            <w:fldChar w:fldCharType="end"/>
          </w:r>
        </w:p>
      </w:tc>
    </w:tr>
  </w:tbl>
  <w:p w:rsidR="00E14DDB" w:rsidRDefault="00E14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ED7" w:rsidRDefault="00043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DDB" w:rsidRDefault="00E14DDB" w:rsidP="00E14DDB">
      <w:r>
        <w:separator/>
      </w:r>
    </w:p>
  </w:footnote>
  <w:footnote w:type="continuationSeparator" w:id="0">
    <w:p w:rsidR="00E14DDB" w:rsidRDefault="00E14DDB" w:rsidP="00E1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ED7" w:rsidRDefault="00043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16" w:type="dxa"/>
      <w:jc w:val="center"/>
      <w:tblBorders>
        <w:bottom w:val="single" w:sz="24" w:space="0" w:color="002060"/>
      </w:tblBorders>
      <w:tblLook w:val="04A0" w:firstRow="1" w:lastRow="0" w:firstColumn="1" w:lastColumn="0" w:noHBand="0" w:noVBand="1"/>
    </w:tblPr>
    <w:tblGrid>
      <w:gridCol w:w="5038"/>
      <w:gridCol w:w="5039"/>
      <w:gridCol w:w="5039"/>
    </w:tblGrid>
    <w:tr w:rsidR="00E14DDB" w:rsidRPr="00E14DDB" w:rsidTr="00E14DDB">
      <w:trPr>
        <w:trHeight w:val="706"/>
        <w:jc w:val="center"/>
      </w:trPr>
      <w:tc>
        <w:tcPr>
          <w:tcW w:w="5038" w:type="dxa"/>
          <w:vAlign w:val="center"/>
          <w:hideMark/>
        </w:tcPr>
        <w:p w:rsidR="00E14DDB" w:rsidRPr="00E14DDB" w:rsidRDefault="00E14DDB" w:rsidP="00E14DDB">
          <w:pPr>
            <w:spacing w:after="240"/>
            <w:jc w:val="center"/>
            <w:rPr>
              <w:rFonts w:ascii="Bradley Hand ITC" w:hAnsi="Bradley Hand ITC" w:cstheme="minorHAnsi"/>
              <w:b/>
              <w:color w:val="E36C0A" w:themeColor="accent6" w:themeShade="BF"/>
              <w:sz w:val="40"/>
              <w:szCs w:val="16"/>
            </w:rPr>
          </w:pPr>
          <w:r w:rsidRPr="00E14DDB">
            <w:rPr>
              <w:rFonts w:asciiTheme="minorHAnsi" w:hAnsiTheme="minorHAnsi" w:cstheme="minorHAnsi"/>
              <w:noProof/>
              <w:color w:val="365F91"/>
              <w:sz w:val="20"/>
              <w:lang w:eastAsia="en-AU"/>
            </w:rPr>
            <w:drawing>
              <wp:anchor distT="0" distB="0" distL="114300" distR="114300" simplePos="0" relativeHeight="251659264" behindDoc="0" locked="0" layoutInCell="1" allowOverlap="1" wp14:anchorId="1DEE87EC" wp14:editId="62E130E3">
                <wp:simplePos x="0" y="0"/>
                <wp:positionH relativeFrom="column">
                  <wp:posOffset>-63500</wp:posOffset>
                </wp:positionH>
                <wp:positionV relativeFrom="paragraph">
                  <wp:posOffset>137795</wp:posOffset>
                </wp:positionV>
                <wp:extent cx="2117725" cy="309245"/>
                <wp:effectExtent l="0" t="0" r="0" b="0"/>
                <wp:wrapNone/>
                <wp:docPr id="7" name="Picture 0" descr="east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ma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7725" cy="309245"/>
                        </a:xfrm>
                        <a:prstGeom prst="rect">
                          <a:avLst/>
                        </a:prstGeom>
                      </pic:spPr>
                    </pic:pic>
                  </a:graphicData>
                </a:graphic>
                <wp14:sizeRelH relativeFrom="page">
                  <wp14:pctWidth>0</wp14:pctWidth>
                </wp14:sizeRelH>
                <wp14:sizeRelV relativeFrom="page">
                  <wp14:pctHeight>0</wp14:pctHeight>
                </wp14:sizeRelV>
              </wp:anchor>
            </w:drawing>
          </w:r>
        </w:p>
      </w:tc>
      <w:tc>
        <w:tcPr>
          <w:tcW w:w="5039" w:type="dxa"/>
          <w:vAlign w:val="bottom"/>
          <w:hideMark/>
        </w:tcPr>
        <w:p w:rsidR="00E14DDB" w:rsidRPr="00E14DDB" w:rsidRDefault="00E14DDB" w:rsidP="00E14DDB">
          <w:pPr>
            <w:jc w:val="center"/>
            <w:rPr>
              <w:rFonts w:asciiTheme="minorHAnsi" w:hAnsiTheme="minorHAnsi" w:cstheme="minorHAnsi"/>
              <w:b/>
              <w:sz w:val="22"/>
              <w:szCs w:val="22"/>
            </w:rPr>
          </w:pPr>
          <w:r w:rsidRPr="00E14DDB">
            <w:rPr>
              <w:rFonts w:asciiTheme="minorHAnsi" w:hAnsiTheme="minorHAnsi" w:cstheme="minorHAnsi"/>
              <w:b/>
              <w:sz w:val="20"/>
            </w:rPr>
            <w:t>Integrated</w:t>
          </w:r>
        </w:p>
        <w:p w:rsidR="00E14DDB" w:rsidRPr="00E14DDB" w:rsidRDefault="00E14DDB" w:rsidP="00E14DDB">
          <w:pPr>
            <w:jc w:val="center"/>
            <w:rPr>
              <w:rFonts w:asciiTheme="minorHAnsi" w:hAnsiTheme="minorHAnsi" w:cstheme="minorHAnsi"/>
              <w:sz w:val="16"/>
              <w:szCs w:val="16"/>
            </w:rPr>
          </w:pPr>
          <w:r w:rsidRPr="00E14DDB">
            <w:rPr>
              <w:rFonts w:asciiTheme="minorHAnsi" w:hAnsiTheme="minorHAnsi" w:cstheme="minorHAnsi"/>
              <w:b/>
              <w:sz w:val="20"/>
            </w:rPr>
            <w:t>Management System</w:t>
          </w:r>
        </w:p>
      </w:tc>
      <w:tc>
        <w:tcPr>
          <w:tcW w:w="5039" w:type="dxa"/>
          <w:vAlign w:val="center"/>
          <w:hideMark/>
        </w:tcPr>
        <w:p w:rsidR="00E14DDB" w:rsidRPr="00E14DDB" w:rsidRDefault="00E14DDB" w:rsidP="00E14DDB">
          <w:pPr>
            <w:jc w:val="right"/>
            <w:rPr>
              <w:rFonts w:asciiTheme="minorHAnsi" w:hAnsiTheme="minorHAnsi" w:cstheme="minorHAnsi"/>
              <w:sz w:val="16"/>
              <w:szCs w:val="16"/>
            </w:rPr>
          </w:pPr>
          <w:r w:rsidRPr="00E14DDB">
            <w:rPr>
              <w:rFonts w:asciiTheme="minorHAnsi" w:hAnsiTheme="minorHAnsi" w:cstheme="minorHAnsi"/>
              <w:sz w:val="16"/>
              <w:szCs w:val="16"/>
            </w:rPr>
            <w:t>31 Mackenzie Street</w:t>
          </w:r>
        </w:p>
        <w:p w:rsidR="00E14DDB" w:rsidRPr="00E14DDB" w:rsidRDefault="00E14DDB" w:rsidP="00E14DDB">
          <w:pPr>
            <w:jc w:val="right"/>
            <w:rPr>
              <w:rFonts w:asciiTheme="minorHAnsi" w:hAnsiTheme="minorHAnsi" w:cstheme="minorHAnsi"/>
              <w:sz w:val="16"/>
              <w:szCs w:val="16"/>
            </w:rPr>
          </w:pPr>
          <w:r w:rsidRPr="00E14DDB">
            <w:rPr>
              <w:rFonts w:asciiTheme="minorHAnsi" w:hAnsiTheme="minorHAnsi" w:cstheme="minorHAnsi"/>
              <w:sz w:val="16"/>
              <w:szCs w:val="16"/>
            </w:rPr>
            <w:t>PO Box 933</w:t>
          </w:r>
        </w:p>
        <w:p w:rsidR="00E14DDB" w:rsidRPr="00E14DDB" w:rsidRDefault="00E14DDB" w:rsidP="00E14DDB">
          <w:pPr>
            <w:jc w:val="right"/>
            <w:rPr>
              <w:rFonts w:asciiTheme="minorHAnsi" w:hAnsiTheme="minorHAnsi" w:cstheme="minorHAnsi"/>
              <w:sz w:val="16"/>
              <w:szCs w:val="16"/>
            </w:rPr>
          </w:pPr>
          <w:r w:rsidRPr="00E14DDB">
            <w:rPr>
              <w:rFonts w:asciiTheme="minorHAnsi" w:hAnsiTheme="minorHAnsi" w:cstheme="minorHAnsi"/>
              <w:sz w:val="16"/>
              <w:szCs w:val="16"/>
            </w:rPr>
            <w:t>Bendigo</w:t>
          </w:r>
        </w:p>
        <w:p w:rsidR="00E14DDB" w:rsidRPr="00E14DDB" w:rsidRDefault="00E14DDB" w:rsidP="00E14DDB">
          <w:pPr>
            <w:jc w:val="right"/>
            <w:rPr>
              <w:rFonts w:asciiTheme="minorHAnsi" w:hAnsiTheme="minorHAnsi" w:cstheme="minorHAnsi"/>
              <w:sz w:val="16"/>
              <w:szCs w:val="16"/>
            </w:rPr>
          </w:pPr>
          <w:r w:rsidRPr="00E14DDB">
            <w:rPr>
              <w:rFonts w:asciiTheme="minorHAnsi" w:hAnsiTheme="minorHAnsi" w:cstheme="minorHAnsi"/>
              <w:sz w:val="16"/>
              <w:szCs w:val="16"/>
            </w:rPr>
            <w:t>VIC 3552</w:t>
          </w:r>
        </w:p>
        <w:p w:rsidR="00E14DDB" w:rsidRPr="00E14DDB" w:rsidRDefault="00E14DDB" w:rsidP="00E14DDB">
          <w:pPr>
            <w:jc w:val="right"/>
            <w:rPr>
              <w:rFonts w:asciiTheme="minorHAnsi" w:hAnsiTheme="minorHAnsi"/>
              <w:noProof/>
              <w:sz w:val="22"/>
              <w:szCs w:val="22"/>
              <w:lang w:eastAsia="en-AU"/>
            </w:rPr>
          </w:pPr>
          <w:r w:rsidRPr="00E14DDB">
            <w:rPr>
              <w:rFonts w:asciiTheme="minorHAnsi" w:hAnsiTheme="minorHAnsi"/>
              <w:noProof/>
              <w:sz w:val="16"/>
              <w:szCs w:val="16"/>
              <w:lang w:eastAsia="en-AU"/>
            </w:rPr>
            <w:t>ABN: 40 131 718 020</w:t>
          </w:r>
        </w:p>
      </w:tc>
    </w:tr>
  </w:tbl>
  <w:p w:rsidR="00E14DDB" w:rsidRPr="00627F94" w:rsidRDefault="00627F94" w:rsidP="00627F94">
    <w:pPr>
      <w:spacing w:before="120" w:after="120"/>
      <w:jc w:val="center"/>
      <w:rPr>
        <w:rFonts w:asciiTheme="minorHAnsi" w:hAnsiTheme="minorHAnsi"/>
        <w:b/>
        <w:sz w:val="22"/>
        <w:szCs w:val="22"/>
      </w:rPr>
    </w:pPr>
    <w:r w:rsidRPr="00B32C63">
      <w:rPr>
        <w:rFonts w:asciiTheme="minorHAnsi" w:hAnsiTheme="minorHAnsi"/>
        <w:b/>
        <w:sz w:val="22"/>
        <w:szCs w:val="22"/>
      </w:rPr>
      <w:t>Electrical Testing Intervals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ED7" w:rsidRDefault="00043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971E3"/>
    <w:multiLevelType w:val="hybridMultilevel"/>
    <w:tmpl w:val="BEC8B1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01E0622"/>
    <w:multiLevelType w:val="hybridMultilevel"/>
    <w:tmpl w:val="A07405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CC31EF0"/>
    <w:multiLevelType w:val="hybridMultilevel"/>
    <w:tmpl w:val="1A22E02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AC8"/>
    <w:rsid w:val="00010DAF"/>
    <w:rsid w:val="00033B86"/>
    <w:rsid w:val="00043ED7"/>
    <w:rsid w:val="00052311"/>
    <w:rsid w:val="000E0FA0"/>
    <w:rsid w:val="00183200"/>
    <w:rsid w:val="001A0BF0"/>
    <w:rsid w:val="001A490A"/>
    <w:rsid w:val="001B16C5"/>
    <w:rsid w:val="001F0806"/>
    <w:rsid w:val="00213E70"/>
    <w:rsid w:val="00297BD4"/>
    <w:rsid w:val="002A2C4B"/>
    <w:rsid w:val="0034434A"/>
    <w:rsid w:val="0036633B"/>
    <w:rsid w:val="00373125"/>
    <w:rsid w:val="003D712D"/>
    <w:rsid w:val="00437E86"/>
    <w:rsid w:val="00627F94"/>
    <w:rsid w:val="00731C7A"/>
    <w:rsid w:val="00761482"/>
    <w:rsid w:val="007E3AA4"/>
    <w:rsid w:val="00831258"/>
    <w:rsid w:val="00925422"/>
    <w:rsid w:val="009670B2"/>
    <w:rsid w:val="009B2FC9"/>
    <w:rsid w:val="009B5823"/>
    <w:rsid w:val="00AE372C"/>
    <w:rsid w:val="00B2236C"/>
    <w:rsid w:val="00B32C63"/>
    <w:rsid w:val="00B438B5"/>
    <w:rsid w:val="00BA3AC8"/>
    <w:rsid w:val="00BB133C"/>
    <w:rsid w:val="00BC07A4"/>
    <w:rsid w:val="00C22CF0"/>
    <w:rsid w:val="00C70735"/>
    <w:rsid w:val="00C92847"/>
    <w:rsid w:val="00D623E2"/>
    <w:rsid w:val="00DD10AF"/>
    <w:rsid w:val="00E14DDB"/>
    <w:rsid w:val="00F04FB4"/>
    <w:rsid w:val="00F115B7"/>
    <w:rsid w:val="00FD1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1DF480AB-43DE-4C52-9F1B-A4CA1B9D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AC8"/>
    <w:rPr>
      <w:rFonts w:ascii="Tahoma" w:hAnsi="Tahoma" w:cs="Tahoma"/>
      <w:sz w:val="16"/>
      <w:szCs w:val="16"/>
    </w:rPr>
  </w:style>
  <w:style w:type="character" w:customStyle="1" w:styleId="BalloonTextChar">
    <w:name w:val="Balloon Text Char"/>
    <w:basedOn w:val="DefaultParagraphFont"/>
    <w:link w:val="BalloonText"/>
    <w:uiPriority w:val="99"/>
    <w:semiHidden/>
    <w:rsid w:val="00BA3AC8"/>
    <w:rPr>
      <w:rFonts w:ascii="Tahoma" w:hAnsi="Tahoma" w:cs="Tahoma"/>
      <w:sz w:val="16"/>
      <w:szCs w:val="16"/>
    </w:rPr>
  </w:style>
  <w:style w:type="paragraph" w:styleId="ListParagraph">
    <w:name w:val="List Paragraph"/>
    <w:basedOn w:val="Normal"/>
    <w:uiPriority w:val="34"/>
    <w:qFormat/>
    <w:rsid w:val="001F0806"/>
    <w:pPr>
      <w:ind w:left="720"/>
      <w:contextualSpacing/>
    </w:pPr>
  </w:style>
  <w:style w:type="paragraph" w:styleId="Header">
    <w:name w:val="header"/>
    <w:basedOn w:val="Normal"/>
    <w:link w:val="HeaderChar"/>
    <w:uiPriority w:val="99"/>
    <w:unhideWhenUsed/>
    <w:rsid w:val="00B32C63"/>
    <w:pPr>
      <w:spacing w:line="273" w:lineRule="auto"/>
    </w:pPr>
    <w:rPr>
      <w:rFonts w:ascii="Calibri" w:eastAsia="Times New Roman" w:hAnsi="Calibri"/>
      <w:color w:val="000000"/>
      <w:kern w:val="28"/>
      <w:sz w:val="22"/>
      <w:szCs w:val="22"/>
      <w:lang w:eastAsia="en-AU"/>
    </w:rPr>
  </w:style>
  <w:style w:type="character" w:customStyle="1" w:styleId="HeaderChar">
    <w:name w:val="Header Char"/>
    <w:basedOn w:val="DefaultParagraphFont"/>
    <w:link w:val="Header"/>
    <w:uiPriority w:val="99"/>
    <w:rsid w:val="00B32C63"/>
    <w:rPr>
      <w:rFonts w:ascii="Calibri" w:eastAsia="Times New Roman" w:hAnsi="Calibri"/>
      <w:color w:val="000000"/>
      <w:kern w:val="28"/>
      <w:sz w:val="22"/>
      <w:szCs w:val="22"/>
      <w:lang w:eastAsia="en-AU"/>
    </w:rPr>
  </w:style>
  <w:style w:type="table" w:styleId="TableGrid">
    <w:name w:val="Table Grid"/>
    <w:basedOn w:val="TableNormal"/>
    <w:uiPriority w:val="59"/>
    <w:rsid w:val="009B2FC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14DDB"/>
    <w:pPr>
      <w:tabs>
        <w:tab w:val="center" w:pos="4513"/>
        <w:tab w:val="right" w:pos="9026"/>
      </w:tabs>
    </w:pPr>
  </w:style>
  <w:style w:type="character" w:customStyle="1" w:styleId="FooterChar">
    <w:name w:val="Footer Char"/>
    <w:basedOn w:val="DefaultParagraphFont"/>
    <w:link w:val="Footer"/>
    <w:uiPriority w:val="99"/>
    <w:rsid w:val="00E14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Eastman Lynch</dc:creator>
  <cp:keywords/>
  <dc:description/>
  <cp:lastModifiedBy>Danny Lynch</cp:lastModifiedBy>
  <cp:revision>5</cp:revision>
  <dcterms:created xsi:type="dcterms:W3CDTF">2017-04-19T03:57:00Z</dcterms:created>
  <dcterms:modified xsi:type="dcterms:W3CDTF">2017-09-24T23:52:00Z</dcterms:modified>
</cp:coreProperties>
</file>